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2">
      <w:pPr>
        <w:ind w:left="360"/>
        <w:jc w:val="left"/>
        <w:rPr>
          <w:rFonts w:ascii="Arial" w:cs="Arial" w:eastAsia="Arial" w:hAnsi="Arial"/>
          <w:b w:val="1"/>
          <w:sz w:val="18"/>
          <w:szCs w:val="18"/>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3260"/>
        <w:gridCol w:w="3559"/>
        <w:tblGridChange w:id="0">
          <w:tblGrid>
            <w:gridCol w:w="3369"/>
            <w:gridCol w:w="3260"/>
            <w:gridCol w:w="3559"/>
          </w:tblGrid>
        </w:tblGridChange>
      </w:tblGrid>
      <w:tr>
        <w:tc>
          <w:tcPr/>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b w:val="1"/>
                <w:sz w:val="16"/>
                <w:szCs w:val="16"/>
                <w:vertAlign w:val="superscript"/>
              </w:rPr>
              <w:footnoteReference w:customMarkFollows="0" w:id="1"/>
            </w:r>
            <w:r w:rsidDel="00000000" w:rsidR="00000000" w:rsidRPr="00000000">
              <w:rPr>
                <w:rFonts w:ascii="Arial" w:cs="Arial" w:eastAsia="Arial" w:hAnsi="Arial"/>
                <w:b w:val="1"/>
                <w:sz w:val="16"/>
                <w:szCs w:val="16"/>
                <w:rtl w:val="0"/>
              </w:rPr>
              <w:t xml:space="preserve">Denominación:</w:t>
            </w:r>
            <w:r w:rsidDel="00000000" w:rsidR="00000000" w:rsidRPr="00000000">
              <w:rPr>
                <w:rFonts w:ascii="Arial" w:cs="Arial" w:eastAsia="Arial" w:hAnsi="Arial"/>
                <w:sz w:val="16"/>
                <w:szCs w:val="16"/>
                <w:rtl w:val="0"/>
              </w:rPr>
              <w:t xml:space="preserve"> Tópicos selectos IV</w:t>
            </w:r>
          </w:p>
          <w:p w:rsidR="00000000" w:rsidDel="00000000" w:rsidP="00000000" w:rsidRDefault="00000000" w:rsidRPr="00000000" w14:paraId="00000004">
            <w:pPr>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Teoría Jurídica Contemporánea II</w:t>
            </w:r>
          </w:p>
        </w:tc>
        <w:tc>
          <w:tcPr/>
          <w:p w:rsidR="00000000" w:rsidDel="00000000" w:rsidP="00000000" w:rsidRDefault="00000000" w:rsidRPr="00000000" w14:paraId="00000005">
            <w:pPr>
              <w:ind w:left="72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Tipo: Taller</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Pregrado</w:t>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Área de formación: </w:t>
            </w:r>
            <w:r w:rsidDel="00000000" w:rsidR="00000000" w:rsidRPr="00000000">
              <w:rPr>
                <w:rFonts w:ascii="Arial" w:cs="Arial" w:eastAsia="Arial" w:hAnsi="Arial"/>
                <w:sz w:val="16"/>
                <w:szCs w:val="16"/>
                <w:rtl w:val="0"/>
              </w:rPr>
              <w:t xml:space="preserve">Especializante Optativa.</w:t>
            </w:r>
            <w:r w:rsidDel="00000000" w:rsidR="00000000" w:rsidRPr="00000000">
              <w:rPr>
                <w:rtl w:val="0"/>
              </w:rPr>
            </w:r>
          </w:p>
          <w:p w:rsidR="00000000" w:rsidDel="00000000" w:rsidP="00000000" w:rsidRDefault="00000000" w:rsidRPr="00000000" w14:paraId="0000000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Modalidad: Mixta</w:t>
            </w:r>
          </w:p>
          <w:p w:rsidR="00000000" w:rsidDel="00000000" w:rsidP="00000000" w:rsidRDefault="00000000" w:rsidRPr="00000000" w14:paraId="0000000C">
            <w:pPr>
              <w:rPr/>
            </w:pPr>
            <w:r w:rsidDel="00000000" w:rsidR="00000000" w:rsidRPr="00000000">
              <w:rPr>
                <w:rFonts w:ascii="Arial" w:cs="Arial" w:eastAsia="Arial" w:hAnsi="Arial"/>
                <w:color w:val="000000"/>
                <w:sz w:val="16"/>
                <w:szCs w:val="16"/>
                <w:rtl w:val="0"/>
              </w:rPr>
              <w:t xml:space="preserve">(X)</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Escolarizada    (x) Semiescolarizada</w:t>
            </w:r>
            <w:r w:rsidDel="00000000" w:rsidR="00000000" w:rsidRPr="00000000">
              <w:rPr>
                <w:rtl w:val="0"/>
              </w:rPr>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w:t>
            </w:r>
          </w:p>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IC919</w:t>
            </w:r>
          </w:p>
        </w:tc>
      </w:tr>
      <w:tr>
        <w:tc>
          <w:tcPr/>
          <w:p w:rsidR="00000000" w:rsidDel="00000000" w:rsidP="00000000" w:rsidRDefault="00000000" w:rsidRPr="00000000" w14:paraId="00000010">
            <w:pPr>
              <w:rPr/>
            </w:pPr>
            <w:r w:rsidDel="00000000" w:rsidR="00000000" w:rsidRPr="00000000">
              <w:rPr>
                <w:rFonts w:ascii="Arial" w:cs="Arial" w:eastAsia="Arial" w:hAnsi="Arial"/>
                <w:b w:val="1"/>
                <w:color w:val="000000"/>
                <w:sz w:val="16"/>
                <w:szCs w:val="16"/>
                <w:rtl w:val="0"/>
              </w:rPr>
              <w:t xml:space="preserve">Horas totales: 67</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b w:val="1"/>
                <w:color w:val="000000"/>
                <w:sz w:val="16"/>
                <w:szCs w:val="16"/>
                <w:rtl w:val="0"/>
              </w:rPr>
              <w:t xml:space="preserve">Horas teoría:</w:t>
            </w:r>
            <w:r w:rsidDel="00000000" w:rsidR="00000000" w:rsidRPr="00000000">
              <w:rPr>
                <w:rFonts w:ascii="Arial" w:cs="Arial" w:eastAsia="Arial" w:hAnsi="Arial"/>
                <w:color w:val="000000"/>
                <w:sz w:val="16"/>
                <w:szCs w:val="16"/>
                <w:rtl w:val="0"/>
              </w:rPr>
              <w:t xml:space="preserve"> 25</w:t>
            </w:r>
            <w:r w:rsidDel="00000000" w:rsidR="00000000" w:rsidRPr="00000000">
              <w:rPr>
                <w:rtl w:val="0"/>
              </w:rPr>
            </w:r>
          </w:p>
          <w:p w:rsidR="00000000" w:rsidDel="00000000" w:rsidP="00000000" w:rsidRDefault="00000000" w:rsidRPr="00000000" w14:paraId="00000012">
            <w:pPr>
              <w:rPr>
                <w:rFonts w:ascii="Arial" w:cs="Arial" w:eastAsia="Arial" w:hAnsi="Arial"/>
                <w:b w:val="1"/>
                <w:sz w:val="14"/>
                <w:szCs w:val="14"/>
              </w:rPr>
            </w:pPr>
            <w:r w:rsidDel="00000000" w:rsidR="00000000" w:rsidRPr="00000000">
              <w:rPr>
                <w:rFonts w:ascii="Arial" w:cs="Arial" w:eastAsia="Arial" w:hAnsi="Arial"/>
                <w:b w:val="1"/>
                <w:color w:val="000000"/>
                <w:sz w:val="16"/>
                <w:szCs w:val="16"/>
                <w:rtl w:val="0"/>
              </w:rPr>
              <w:t xml:space="preserve">Horas prácticas</w:t>
            </w:r>
            <w:r w:rsidDel="00000000" w:rsidR="00000000" w:rsidRPr="00000000">
              <w:rPr>
                <w:rFonts w:ascii="Arial" w:cs="Arial" w:eastAsia="Arial" w:hAnsi="Arial"/>
                <w:color w:val="000000"/>
                <w:sz w:val="16"/>
                <w:szCs w:val="16"/>
                <w:rtl w:val="0"/>
              </w:rPr>
              <w:t xml:space="preserve">; 42</w:t>
            </w:r>
            <w:r w:rsidDel="00000000" w:rsidR="00000000" w:rsidRPr="00000000">
              <w:rPr>
                <w:rtl w:val="0"/>
              </w:rPr>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Créditos: 6</w:t>
            </w:r>
          </w:p>
        </w:tc>
        <w:tc>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IC920</w:t>
            </w:r>
          </w:p>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tc>
      </w:tr>
      <w:tr>
        <w:tc>
          <w:tcPr>
            <w:gridSpan w:val="2"/>
          </w:tcPr>
          <w:p w:rsidR="00000000" w:rsidDel="00000000" w:rsidP="00000000" w:rsidRDefault="00000000" w:rsidRPr="00000000" w14:paraId="00000017">
            <w:pPr>
              <w:rPr/>
            </w:pPr>
            <w:r w:rsidDel="00000000" w:rsidR="00000000" w:rsidRPr="00000000">
              <w:rPr>
                <w:rFonts w:ascii="Arial" w:cs="Arial" w:eastAsia="Arial" w:hAnsi="Arial"/>
                <w:b w:val="1"/>
                <w:color w:val="000000"/>
                <w:sz w:val="16"/>
                <w:szCs w:val="16"/>
                <w:rtl w:val="0"/>
              </w:rPr>
              <w:t xml:space="preserve">Elaboró:</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000000"/>
                <w:sz w:val="18"/>
                <w:szCs w:val="18"/>
                <w:rtl w:val="0"/>
              </w:rPr>
              <w:t xml:space="preserve">CUCOSTA</w:t>
            </w: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w:cs="Arial" w:eastAsia="Arial" w:hAnsi="Arial"/>
                <w:b w:val="1"/>
                <w:color w:val="000000"/>
                <w:sz w:val="18"/>
                <w:szCs w:val="18"/>
                <w:rtl w:val="0"/>
              </w:rPr>
              <w:t xml:space="preserve">Revisión:</w:t>
            </w:r>
            <w:r w:rsidDel="00000000" w:rsidR="00000000" w:rsidRPr="00000000">
              <w:rPr>
                <w:rtl w:val="0"/>
              </w:rPr>
            </w:r>
          </w:p>
          <w:p w:rsidR="00000000" w:rsidDel="00000000" w:rsidP="00000000" w:rsidRDefault="00000000" w:rsidRPr="00000000" w14:paraId="000000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Comité de Acreditacion </w:t>
            </w:r>
          </w:p>
          <w:p w:rsidR="00000000" w:rsidDel="00000000" w:rsidP="00000000" w:rsidRDefault="00000000" w:rsidRPr="00000000" w14:paraId="0000001C">
            <w:pPr>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sz w:val="16"/>
                <w:szCs w:val="16"/>
                <w:rtl w:val="0"/>
              </w:rPr>
              <w:t xml:space="preserve">Comité de Acreditaion Internacional</w:t>
            </w:r>
          </w:p>
        </w:tc>
        <w:tc>
          <w:tcPr/>
          <w:p w:rsidR="00000000" w:rsidDel="00000000" w:rsidP="00000000" w:rsidRDefault="00000000" w:rsidRPr="00000000" w14:paraId="0000001E">
            <w:pPr>
              <w:rPr/>
            </w:pPr>
            <w:r w:rsidDel="00000000" w:rsidR="00000000" w:rsidRPr="00000000">
              <w:rPr>
                <w:rFonts w:ascii="Arial" w:cs="Arial" w:eastAsia="Arial" w:hAnsi="Arial"/>
                <w:b w:val="1"/>
                <w:color w:val="000000"/>
                <w:sz w:val="16"/>
                <w:szCs w:val="16"/>
                <w:rtl w:val="0"/>
              </w:rPr>
              <w:t xml:space="preserve">Fecha de elaboración.</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16"/>
                <w:szCs w:val="16"/>
                <w:rtl w:val="0"/>
              </w:rPr>
              <w:t xml:space="preserve">Enero 2017</w:t>
            </w:r>
            <w:r w:rsidDel="00000000" w:rsidR="00000000" w:rsidRPr="00000000">
              <w:rPr>
                <w:rtl w:val="0"/>
              </w:rPr>
            </w:r>
          </w:p>
          <w:p w:rsidR="00000000" w:rsidDel="00000000" w:rsidP="00000000" w:rsidRDefault="00000000" w:rsidRPr="00000000" w14:paraId="00000020">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16"/>
                <w:szCs w:val="16"/>
                <w:rtl w:val="0"/>
              </w:rPr>
              <w:t xml:space="preserve">Fecha de revisión:</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color w:val="000000"/>
                <w:sz w:val="16"/>
                <w:szCs w:val="16"/>
                <w:rtl w:val="0"/>
              </w:rPr>
              <w:t xml:space="preserve"> Julio/2018</w:t>
            </w: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perfil de egreso</w:t>
      </w:r>
      <w:r w:rsidDel="00000000" w:rsidR="00000000" w:rsidRPr="00000000">
        <w:rPr>
          <w:rFonts w:ascii="Arial" w:cs="Arial" w:eastAsia="Arial" w:hAnsi="Arial"/>
          <w:b w:val="1"/>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6">
      <w:pPr>
        <w:rPr>
          <w:rFonts w:ascii="Arial" w:cs="Arial" w:eastAsia="Arial" w:hAnsi="Arial"/>
          <w:b w:val="1"/>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La formación en esta unidad de aprendizaje coadyuva de manera integral en la consecución del perfil de egreso del estudiante, particularmente en las aéreas de argumentación oral y escrita fundándose en principios y razonamientos jurídicos sólidos, estructurados en función de principios jurídicos y bajo el sustento de una teoría jurídica especifica.</w:t>
            </w:r>
          </w:p>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es fundamental para los estudiantes que se interesen en desarrollar un perfil académico en su desempeño profesional, dado que brinda las herramientas de interpretación conceptual de la filosofía y teoría del derecho, resultando una gran ayuda para coadyuvar a mejorar el desempeño de los estudiantes en general en relación a la argumentación jurídica.</w:t>
            </w:r>
          </w:p>
          <w:p w:rsidR="00000000" w:rsidDel="00000000" w:rsidP="00000000" w:rsidRDefault="00000000" w:rsidRPr="00000000" w14:paraId="000000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2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plan de estudios</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2F">
      <w:pPr>
        <w:rPr>
          <w:rFonts w:ascii="Arial" w:cs="Arial" w:eastAsia="Arial" w:hAnsi="Arial"/>
          <w:b w:val="1"/>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sz w:val="18"/>
                <w:szCs w:val="18"/>
                <w:rtl w:val="0"/>
              </w:rPr>
              <w:t xml:space="preserve">Esta unidad de aprendizaje se encamina a colaborar en el desarrollo de competencias en el pensamiento crítico y argumentación, además de proveer herramientas sólidas para las competencias comunicativas. Se relaciona de manera fundamental con las asignaturas de Teoría del Derecho, Interpretación y Argumentación Jurídica y Filosofía del Derecho.</w:t>
            </w:r>
          </w:p>
          <w:p w:rsidR="00000000" w:rsidDel="00000000" w:rsidP="00000000" w:rsidRDefault="00000000" w:rsidRPr="00000000" w14:paraId="0000003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6">
      <w:pPr>
        <w:rPr>
          <w:rFonts w:ascii="Arial" w:cs="Arial" w:eastAsia="Arial" w:hAnsi="Arial"/>
          <w:b w:val="1"/>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7">
            <w:pPr>
              <w:rPr>
                <w:rFonts w:ascii="Arial" w:cs="Arial" w:eastAsia="Arial" w:hAnsi="Arial"/>
                <w:b w:val="1"/>
                <w:sz w:val="18"/>
                <w:szCs w:val="18"/>
              </w:rPr>
            </w:pPr>
            <w:r w:rsidDel="00000000" w:rsidR="00000000" w:rsidRPr="00000000">
              <w:rPr>
                <w:rtl w:val="0"/>
              </w:rPr>
            </w:r>
          </w:p>
          <w:tbl>
            <w:tblPr>
              <w:tblStyle w:val="Table5"/>
              <w:tblW w:w="9736.000000000002" w:type="dxa"/>
              <w:jc w:val="left"/>
              <w:tblLayout w:type="fixed"/>
              <w:tblLook w:val="0400"/>
            </w:tblPr>
            <w:tblGrid>
              <w:gridCol w:w="6596"/>
              <w:gridCol w:w="1336"/>
              <w:gridCol w:w="737"/>
              <w:gridCol w:w="1067"/>
              <w:tblGridChange w:id="0">
                <w:tblGrid>
                  <w:gridCol w:w="6596"/>
                  <w:gridCol w:w="1336"/>
                  <w:gridCol w:w="737"/>
                  <w:gridCol w:w="1067"/>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8">
                  <w:pPr>
                    <w:jc w:val="center"/>
                    <w:rPr/>
                  </w:pPr>
                  <w:r w:rsidDel="00000000" w:rsidR="00000000" w:rsidRPr="00000000">
                    <w:rPr>
                      <w:rFonts w:ascii="Arial" w:cs="Arial" w:eastAsia="Arial" w:hAnsi="Arial"/>
                      <w:b w:val="1"/>
                      <w:color w:val="000000"/>
                      <w:sz w:val="18"/>
                      <w:szCs w:val="18"/>
                      <w:rtl w:val="0"/>
                    </w:rPr>
                    <w:t xml:space="preserve">Habilidad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9">
                  <w:pPr>
                    <w:jc w:val="center"/>
                    <w:rPr/>
                  </w:pPr>
                  <w:r w:rsidDel="00000000" w:rsidR="00000000" w:rsidRPr="00000000">
                    <w:rPr>
                      <w:rFonts w:ascii="Arial" w:cs="Arial" w:eastAsia="Arial" w:hAnsi="Arial"/>
                      <w:b w:val="1"/>
                      <w:color w:val="000000"/>
                      <w:sz w:val="18"/>
                      <w:szCs w:val="18"/>
                      <w:rtl w:val="0"/>
                    </w:rPr>
                    <w:t xml:space="preserve">Nivel de aportación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D">
                  <w:pPr>
                    <w:jc w:val="center"/>
                    <w:rPr/>
                  </w:pPr>
                  <w:r w:rsidDel="00000000" w:rsidR="00000000" w:rsidRPr="00000000">
                    <w:rPr>
                      <w:rFonts w:ascii="Arial" w:cs="Arial" w:eastAsia="Arial" w:hAnsi="Arial"/>
                      <w:b w:val="1"/>
                      <w:color w:val="000000"/>
                      <w:sz w:val="18"/>
                      <w:szCs w:val="18"/>
                      <w:rtl w:val="0"/>
                    </w:rPr>
                    <w:t xml:space="preserve">Introductorio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E">
                  <w:pPr>
                    <w:jc w:val="center"/>
                    <w:rPr/>
                  </w:pPr>
                  <w:r w:rsidDel="00000000" w:rsidR="00000000" w:rsidRPr="00000000">
                    <w:rPr>
                      <w:rFonts w:ascii="Arial" w:cs="Arial" w:eastAsia="Arial" w:hAnsi="Arial"/>
                      <w:b w:val="1"/>
                      <w:color w:val="000000"/>
                      <w:sz w:val="18"/>
                      <w:szCs w:val="18"/>
                      <w:rtl w:val="0"/>
                    </w:rPr>
                    <w:t xml:space="preserve">Medio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F">
                  <w:pPr>
                    <w:jc w:val="center"/>
                    <w:rPr/>
                  </w:pPr>
                  <w:r w:rsidDel="00000000" w:rsidR="00000000" w:rsidRPr="00000000">
                    <w:rPr>
                      <w:rFonts w:ascii="Arial" w:cs="Arial" w:eastAsia="Arial" w:hAnsi="Arial"/>
                      <w:b w:val="1"/>
                      <w:color w:val="000000"/>
                      <w:sz w:val="18"/>
                      <w:szCs w:val="18"/>
                      <w:rtl w:val="0"/>
                    </w:rPr>
                    <w:t xml:space="preserve">Avanzado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numPr>
                      <w:ilvl w:val="0"/>
                      <w:numId w:val="1"/>
                    </w:numPr>
                    <w:spacing w:after="200" w:lineRule="auto"/>
                    <w:ind w:left="454" w:hanging="42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numPr>
                      <w:ilvl w:val="0"/>
                      <w:numId w:val="2"/>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numPr>
                      <w:ilvl w:val="0"/>
                      <w:numId w:val="3"/>
                    </w:numPr>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p w:rsidR="00000000" w:rsidDel="00000000" w:rsidP="00000000" w:rsidRDefault="00000000" w:rsidRPr="00000000" w14:paraId="00000049">
                  <w:pPr>
                    <w:spacing w:after="100" w:before="280" w:lineRule="auto"/>
                    <w:ind w:left="94"/>
                    <w:jc w:val="left"/>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69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Atender los diferentes tipos de conflictos, a fin de prevenirlos, y proponer soluciones privilegiando el uso de medios alternativos.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54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 problemas jurídicos con eficiencia, eficacia y oportunidad.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investigación para transmitir y generar conocimiento jurídico.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Manejar, de manera óptima, las tecnologías de la información y comunicación en el desempeño profesional.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Comunicarse a través de un lenguaje técnico jurídico en una segunda lengua.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Desempeñarse en diferentes contextos culturales y sociales, con una visión global.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rtl w:val="0"/>
                    </w:rPr>
                  </w:r>
                </w:p>
              </w:tc>
            </w:tr>
          </w:tbl>
          <w:p w:rsidR="00000000" w:rsidDel="00000000" w:rsidP="00000000" w:rsidRDefault="00000000" w:rsidRPr="00000000" w14:paraId="00000065">
            <w:pPr>
              <w:jc w:val="left"/>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E">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6F">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Coadyuvar a que el estudiante desarrolle de manera avanzada una estructura de razonamiento lógico aplicada al derecho, basándose en principios jurídicos y desde la perspectiva de una teoría del derecho.</w:t>
            </w:r>
          </w:p>
          <w:p w:rsidR="00000000" w:rsidDel="00000000" w:rsidP="00000000" w:rsidRDefault="00000000" w:rsidRPr="00000000" w14:paraId="00000071">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4">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historia de la filosofía del derecho.</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Proporcional al estudiante los elementos para construir estructuras argumentales coherentes con una teoría del derecho particular, a efectos de que sean consistentes con la misma.</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categorización y los conceptos avanzados de la filosofía del derecho.</w:t>
            </w:r>
            <w:r w:rsidDel="00000000" w:rsidR="00000000" w:rsidRPr="00000000">
              <w:rPr>
                <w:rtl w:val="0"/>
              </w:rPr>
            </w:r>
          </w:p>
          <w:p w:rsidR="00000000" w:rsidDel="00000000" w:rsidP="00000000" w:rsidRDefault="00000000" w:rsidRPr="00000000" w14:paraId="00000079">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tcBorders>
              <w:right w:color="000000" w:space="0" w:sz="4" w:val="single"/>
            </w:tcBorders>
          </w:tcPr>
          <w:p w:rsidR="00000000" w:rsidDel="00000000" w:rsidP="00000000" w:rsidRDefault="00000000" w:rsidRPr="00000000" w14:paraId="0000007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0">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Filosofía analítica y derecho.</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Positivismo lógico.</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Estatus epistemológico de la filosofía analítica.</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El rechazo a la especulación metafísica.</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1.4 Análisis del lenguaje natural.</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1.5 Herramientas de análisis conceptual.</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Constructivismo jurídico.</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Constructivismo epistemológico.</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Sobre los constructos jurídicos.</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Constructivismo jurídico cognitivo.</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2.4 Constructivismo jurídico factico. </w:t>
            </w:r>
          </w:p>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2.5 Constructivismo jurídico factico-normativo.</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Análisis económico del derecho.</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Los métodos y conceptos del análisis económico del derecho.</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Vertiente positiva en el análisis económico del derecho.</w:t>
            </w:r>
          </w:p>
          <w:p w:rsidR="00000000" w:rsidDel="00000000" w:rsidP="00000000" w:rsidRDefault="00000000" w:rsidRPr="00000000" w14:paraId="000000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Enfoque normativo del análisis económico del derecho.</w:t>
            </w:r>
          </w:p>
          <w:p w:rsidR="00000000" w:rsidDel="00000000" w:rsidP="00000000" w:rsidRDefault="00000000" w:rsidRPr="00000000" w14:paraId="000000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Conceptos fundamentales del análisis económico del derecho.</w:t>
            </w:r>
          </w:p>
          <w:p w:rsidR="00000000" w:rsidDel="00000000" w:rsidP="00000000" w:rsidRDefault="00000000" w:rsidRPr="00000000" w14:paraId="00000093">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3.5 Richard Posner.</w:t>
            </w:r>
            <w:r w:rsidDel="00000000" w:rsidR="00000000" w:rsidRPr="00000000">
              <w:rPr>
                <w:rtl w:val="0"/>
              </w:rPr>
            </w:r>
          </w:p>
        </w:tc>
      </w:tr>
    </w:tbl>
    <w:p w:rsidR="00000000" w:rsidDel="00000000" w:rsidP="00000000" w:rsidRDefault="00000000" w:rsidRPr="00000000" w14:paraId="0000009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Estructura conceptual del curso </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bl>
      <w:tblPr>
        <w:tblStyle w:val="Table9"/>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2"/>
        <w:tblGridChange w:id="0">
          <w:tblGrid>
            <w:gridCol w:w="10112"/>
          </w:tblGrid>
        </w:tblGridChange>
      </w:tblGrid>
      <w:tr>
        <w:tc>
          <w:tcPr/>
          <w:p w:rsidR="00000000" w:rsidDel="00000000" w:rsidP="00000000" w:rsidRDefault="00000000" w:rsidRPr="00000000" w14:paraId="0000009C">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9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0" distT="0" distL="0" distR="0">
                  <wp:extent cx="5505450" cy="3857625"/>
                  <wp:effectExtent b="0" l="0" r="0" t="0"/>
                  <wp:docPr id="3" name="image2.jpg"/>
                  <a:graphic>
                    <a:graphicData uri="http://schemas.openxmlformats.org/drawingml/2006/picture">
                      <pic:pic>
                        <pic:nvPicPr>
                          <pic:cNvPr id="0" name="image2.jpg"/>
                          <pic:cNvPicPr preferRelativeResize="0"/>
                        </pic:nvPicPr>
                        <pic:blipFill>
                          <a:blip r:embed="rId7"/>
                          <a:srcRect b="17267" l="5416" r="7640" t="21811"/>
                          <a:stretch>
                            <a:fillRect/>
                          </a:stretch>
                        </pic:blipFill>
                        <pic:spPr>
                          <a:xfrm>
                            <a:off x="0" y="0"/>
                            <a:ext cx="5505450" cy="385762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Modalidad de evaluación </w:t>
      </w:r>
    </w:p>
    <w:p w:rsidR="00000000" w:rsidDel="00000000" w:rsidP="00000000" w:rsidRDefault="00000000" w:rsidRPr="00000000" w14:paraId="000000A3">
      <w:pPr>
        <w:rPr>
          <w:rFonts w:ascii="Arial" w:cs="Arial" w:eastAsia="Arial" w:hAnsi="Arial"/>
          <w:b w:val="1"/>
          <w:sz w:val="18"/>
          <w:szCs w:val="18"/>
        </w:rPr>
      </w:pPr>
      <w:r w:rsidDel="00000000" w:rsidR="00000000" w:rsidRPr="00000000">
        <w:rPr>
          <w:rtl w:val="0"/>
        </w:rPr>
      </w:r>
    </w:p>
    <w:tbl>
      <w:tblPr>
        <w:tblStyle w:val="Table10"/>
        <w:tblW w:w="9918.0" w:type="dxa"/>
        <w:jc w:val="left"/>
        <w:tblInd w:w="0.0" w:type="dxa"/>
        <w:tblLayout w:type="fixed"/>
        <w:tblLook w:val="0400"/>
      </w:tblPr>
      <w:tblGrid>
        <w:gridCol w:w="2848"/>
        <w:gridCol w:w="7070"/>
        <w:tblGridChange w:id="0">
          <w:tblGrid>
            <w:gridCol w:w="2848"/>
            <w:gridCol w:w="707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Instrumento de evaluación</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Factor de ponderación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Exámenes:</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Parciales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Globales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Departamentales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 a 40%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Participación en clase: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Grupal</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áulicas: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Estudios de caso</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Ensayos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Cuestionarios</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Monografías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curriculares: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Seminarios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Conferencias</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Talleres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a 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Otras:</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bl>
    <w:p w:rsidR="00000000" w:rsidDel="00000000" w:rsidP="00000000" w:rsidRDefault="00000000" w:rsidRPr="00000000" w14:paraId="000000C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CB">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C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CD">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interiorizara los conceptos relativos a la filosofía y teoría del derecho, enfatizando su relación con la estructura del sistema normativo y los principios jurídicos como fuente </w:t>
            </w:r>
          </w:p>
          <w:p w:rsidR="00000000" w:rsidDel="00000000" w:rsidP="00000000" w:rsidRDefault="00000000" w:rsidRPr="00000000" w14:paraId="000000CF">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D1">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resolverá de manera adecuada problemas prácticos planteados en base a la aplicación de principios jurídicos y su interpretación consistente con una teoría jurídica particular.</w:t>
            </w:r>
          </w:p>
          <w:p w:rsidR="00000000" w:rsidDel="00000000" w:rsidP="00000000" w:rsidRDefault="00000000" w:rsidRPr="00000000" w14:paraId="000000D3">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D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adecuara favorablemente la interpretación normativa a los presupuestos derivados de los principios jurídicos, solventando los conflictos y antinomias normativas de y de principios de manera consistente con las diversas teorías jurídicas. </w:t>
            </w:r>
          </w:p>
          <w:p w:rsidR="00000000" w:rsidDel="00000000" w:rsidP="00000000" w:rsidRDefault="00000000" w:rsidRPr="00000000" w14:paraId="000000D9">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D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DB">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C">
            <w:pPr>
              <w:rPr>
                <w:rFonts w:ascii="Arial" w:cs="Arial" w:eastAsia="Arial" w:hAnsi="Arial"/>
                <w:sz w:val="18"/>
                <w:szCs w:val="18"/>
              </w:rPr>
            </w:pPr>
            <w:r w:rsidDel="00000000" w:rsidR="00000000" w:rsidRPr="00000000">
              <w:rPr>
                <w:rFonts w:ascii="Arial" w:cs="Arial" w:eastAsia="Arial" w:hAnsi="Arial"/>
                <w:sz w:val="18"/>
                <w:szCs w:val="18"/>
                <w:rtl w:val="0"/>
              </w:rPr>
              <w:t xml:space="preserve">Interiorizara la necesidad de identificar argumentos en el discurso jurídico, apreciando el carácter axiológico del discurso jurídico práctico, relacionándolo con teorías jurídicas concretas.</w:t>
            </w:r>
          </w:p>
          <w:p w:rsidR="00000000" w:rsidDel="00000000" w:rsidP="00000000" w:rsidRDefault="00000000" w:rsidRPr="00000000" w14:paraId="000000DD">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DF">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0">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será capaz de articular diversos tipos de discurso argumentativo jurídico, además de las contraargumentaciones pertinentes, de manera eficiente y eficaz, basado en los distintos modelos de razonamiento práctico del derecho y con un sustento en principios y teorías jurídicas particulares.</w:t>
            </w:r>
          </w:p>
          <w:p w:rsidR="00000000" w:rsidDel="00000000" w:rsidP="00000000" w:rsidRDefault="00000000" w:rsidRPr="00000000" w14:paraId="000000E1">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3">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4">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Desarrollará habilidades sofisticadas para identificar diversos modelos de discursos argumentativos de carácter jurídico, estableciendo aquellos que tengan un mayor y/o mejor sustento en principios y que sean consistentes con una teoría jurídica particular.</w:t>
            </w:r>
          </w:p>
          <w:p w:rsidR="00000000" w:rsidDel="00000000" w:rsidP="00000000" w:rsidRDefault="00000000" w:rsidRPr="00000000" w14:paraId="000000E5">
            <w:pPr>
              <w:rPr>
                <w:rFonts w:ascii="Arial" w:cs="Arial" w:eastAsia="Arial" w:hAnsi="Arial"/>
                <w:sz w:val="18"/>
                <w:szCs w:val="18"/>
              </w:rPr>
            </w:pPr>
            <w:r w:rsidDel="00000000" w:rsidR="00000000" w:rsidRPr="00000000">
              <w:rPr>
                <w:rFonts w:ascii="Arial" w:cs="Arial" w:eastAsia="Arial" w:hAnsi="Arial"/>
                <w:sz w:val="18"/>
                <w:szCs w:val="18"/>
                <w:rtl w:val="0"/>
              </w:rPr>
              <w:t xml:space="preserve">Desarrollará también las destrezas necesarias para interpretar de modo adecuado, utilizando diferentes modelos interpretativos según sea requerido en cada situación concreta.</w:t>
            </w:r>
          </w:p>
          <w:p w:rsidR="00000000" w:rsidDel="00000000" w:rsidP="00000000" w:rsidRDefault="00000000" w:rsidRPr="00000000" w14:paraId="000000E6">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E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BÁSICA</w:t>
      </w:r>
    </w:p>
    <w:p w:rsidR="00000000" w:rsidDel="00000000" w:rsidP="00000000" w:rsidRDefault="00000000" w:rsidRPr="00000000" w14:paraId="000000EB">
      <w:pPr>
        <w:rPr>
          <w:rFonts w:ascii="Arial" w:cs="Arial" w:eastAsia="Arial" w:hAnsi="Arial"/>
          <w:b w:val="1"/>
          <w:sz w:val="18"/>
          <w:szCs w:val="18"/>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E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0E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0E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0E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0F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0F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Nino, Carlos Santiago.</w:t>
            </w:r>
          </w:p>
        </w:tc>
        <w:tc>
          <w:tcPr>
            <w:vAlign w:val="center"/>
          </w:tcPr>
          <w:p w:rsidR="00000000" w:rsidDel="00000000" w:rsidP="00000000" w:rsidRDefault="00000000" w:rsidRPr="00000000" w14:paraId="000000F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análisis del derecho.</w:t>
            </w:r>
          </w:p>
        </w:tc>
        <w:tc>
          <w:tcPr>
            <w:vAlign w:val="center"/>
          </w:tcPr>
          <w:p w:rsidR="00000000" w:rsidDel="00000000" w:rsidP="00000000" w:rsidRDefault="00000000" w:rsidRPr="00000000" w14:paraId="000000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Ariel.</w:t>
            </w:r>
          </w:p>
        </w:tc>
        <w:tc>
          <w:tcPr>
            <w:vAlign w:val="center"/>
          </w:tcPr>
          <w:p w:rsidR="00000000" w:rsidDel="00000000" w:rsidP="00000000" w:rsidRDefault="00000000" w:rsidRPr="00000000" w14:paraId="000000F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1987</w:t>
            </w:r>
          </w:p>
        </w:tc>
        <w:tc>
          <w:tcPr>
            <w:vAlign w:val="center"/>
          </w:tcPr>
          <w:p w:rsidR="00000000" w:rsidDel="00000000" w:rsidP="00000000" w:rsidRDefault="00000000" w:rsidRPr="00000000" w14:paraId="000000F5">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F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Fondevila, Gustavo.</w:t>
            </w:r>
          </w:p>
        </w:tc>
        <w:tc>
          <w:tcPr>
            <w:vAlign w:val="center"/>
          </w:tcPr>
          <w:p w:rsidR="00000000" w:rsidDel="00000000" w:rsidP="00000000" w:rsidRDefault="00000000" w:rsidRPr="00000000" w14:paraId="000000F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Filosofía del derecho.</w:t>
            </w:r>
          </w:p>
        </w:tc>
        <w:tc>
          <w:tcPr>
            <w:vAlign w:val="center"/>
          </w:tcPr>
          <w:p w:rsidR="00000000" w:rsidDel="00000000" w:rsidP="00000000" w:rsidRDefault="00000000" w:rsidRPr="00000000" w14:paraId="000000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Oxford</w:t>
            </w:r>
          </w:p>
        </w:tc>
        <w:tc>
          <w:tcPr>
            <w:vAlign w:val="center"/>
          </w:tcPr>
          <w:p w:rsidR="00000000" w:rsidDel="00000000" w:rsidP="00000000" w:rsidRDefault="00000000" w:rsidRPr="00000000" w14:paraId="000000F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2010.</w:t>
            </w:r>
          </w:p>
        </w:tc>
        <w:tc>
          <w:tcPr>
            <w:vAlign w:val="center"/>
          </w:tcPr>
          <w:p w:rsidR="00000000" w:rsidDel="00000000" w:rsidP="00000000" w:rsidRDefault="00000000" w:rsidRPr="00000000" w14:paraId="000000FA">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F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Catenacci, Imerio Jorge</w:t>
            </w:r>
          </w:p>
          <w:p w:rsidR="00000000" w:rsidDel="00000000" w:rsidP="00000000" w:rsidRDefault="00000000" w:rsidRPr="00000000" w14:paraId="000000F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derecho teoría general. Argumentación razonamiento jurídico</w:t>
            </w:r>
          </w:p>
        </w:tc>
        <w:tc>
          <w:tcPr>
            <w:vAlign w:val="center"/>
          </w:tcPr>
          <w:p w:rsidR="00000000" w:rsidDel="00000000" w:rsidP="00000000" w:rsidRDefault="00000000" w:rsidRPr="00000000" w14:paraId="000000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Astrea</w:t>
            </w:r>
          </w:p>
        </w:tc>
        <w:tc>
          <w:tcPr>
            <w:vAlign w:val="center"/>
          </w:tcPr>
          <w:p w:rsidR="00000000" w:rsidDel="00000000" w:rsidP="00000000" w:rsidRDefault="00000000" w:rsidRPr="00000000" w14:paraId="000000F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2001</w:t>
            </w:r>
          </w:p>
        </w:tc>
        <w:tc>
          <w:tcPr>
            <w:vAlign w:val="center"/>
          </w:tcPr>
          <w:p w:rsidR="00000000" w:rsidDel="00000000" w:rsidP="00000000" w:rsidRDefault="00000000" w:rsidRPr="00000000" w14:paraId="00000100">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COMPLEMENTARIA</w:t>
      </w:r>
    </w:p>
    <w:p w:rsidR="00000000" w:rsidDel="00000000" w:rsidP="00000000" w:rsidRDefault="00000000" w:rsidRPr="00000000" w14:paraId="00000105">
      <w:pPr>
        <w:rPr>
          <w:rFonts w:ascii="Arial" w:cs="Arial" w:eastAsia="Arial" w:hAnsi="Arial"/>
          <w:b w:val="1"/>
          <w:sz w:val="18"/>
          <w:szCs w:val="18"/>
        </w:rPr>
      </w:pP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10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10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10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10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1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10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Villoro Toranzo, Miguel</w:t>
            </w:r>
          </w:p>
        </w:tc>
        <w:tc>
          <w:tcPr>
            <w:vAlign w:val="center"/>
          </w:tcPr>
          <w:p w:rsidR="00000000" w:rsidDel="00000000" w:rsidP="00000000" w:rsidRDefault="00000000" w:rsidRPr="00000000" w14:paraId="000001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Lecciones de filosofía del derecho.</w:t>
            </w:r>
          </w:p>
        </w:tc>
        <w:tc>
          <w:tcPr>
            <w:vAlign w:val="center"/>
          </w:tcPr>
          <w:p w:rsidR="00000000" w:rsidDel="00000000" w:rsidP="00000000" w:rsidRDefault="00000000" w:rsidRPr="00000000" w14:paraId="000001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2015</w:t>
            </w:r>
          </w:p>
        </w:tc>
        <w:tc>
          <w:tcPr>
            <w:vAlign w:val="cente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González Morfin, Efraín</w:t>
            </w:r>
          </w:p>
        </w:tc>
        <w:tc>
          <w:tcPr>
            <w:vAlign w:val="center"/>
          </w:tcPr>
          <w:p w:rsidR="00000000" w:rsidDel="00000000" w:rsidP="00000000" w:rsidRDefault="00000000" w:rsidRPr="00000000" w14:paraId="000001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de filosofía del derecho.</w:t>
            </w:r>
          </w:p>
        </w:tc>
        <w:tc>
          <w:tcPr>
            <w:vAlign w:val="center"/>
          </w:tcPr>
          <w:p w:rsidR="00000000" w:rsidDel="00000000" w:rsidP="00000000" w:rsidRDefault="00000000" w:rsidRPr="00000000" w14:paraId="000001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2003</w:t>
            </w:r>
          </w:p>
        </w:tc>
        <w:tc>
          <w:tcPr>
            <w:vAlign w:val="center"/>
          </w:tcPr>
          <w:p w:rsidR="00000000" w:rsidDel="00000000" w:rsidP="00000000" w:rsidRDefault="00000000" w:rsidRPr="00000000" w14:paraId="00000114">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9">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1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 PLANEACIÓN POR SEMANAS</w:t>
      </w:r>
      <w:r w:rsidDel="00000000" w:rsidR="00000000" w:rsidRPr="00000000">
        <w:rPr>
          <w:rtl w:val="0"/>
        </w:rPr>
      </w:r>
    </w:p>
    <w:p w:rsidR="00000000" w:rsidDel="00000000" w:rsidP="00000000" w:rsidRDefault="00000000" w:rsidRPr="00000000" w14:paraId="0000011E">
      <w:pPr>
        <w:rPr>
          <w:rFonts w:ascii="Arial" w:cs="Arial" w:eastAsia="Arial" w:hAnsi="Arial"/>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
        <w:gridCol w:w="1212"/>
        <w:gridCol w:w="2608"/>
        <w:gridCol w:w="1451"/>
        <w:gridCol w:w="1159"/>
        <w:gridCol w:w="1449"/>
        <w:gridCol w:w="1496"/>
        <w:tblGridChange w:id="0">
          <w:tblGrid>
            <w:gridCol w:w="813"/>
            <w:gridCol w:w="1212"/>
            <w:gridCol w:w="2608"/>
            <w:gridCol w:w="1451"/>
            <w:gridCol w:w="1159"/>
            <w:gridCol w:w="1449"/>
            <w:gridCol w:w="1496"/>
          </w:tblGrid>
        </w:tblGridChange>
      </w:tblGrid>
      <w:tr>
        <w:tc>
          <w:tcPr>
            <w:vAlign w:val="center"/>
          </w:tcPr>
          <w:p w:rsidR="00000000" w:rsidDel="00000000" w:rsidP="00000000" w:rsidRDefault="00000000" w:rsidRPr="00000000" w14:paraId="0000011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2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2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2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2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2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c>
          <w:tcPr>
            <w:vAlign w:val="center"/>
          </w:tcPr>
          <w:p w:rsidR="00000000" w:rsidDel="00000000" w:rsidP="00000000" w:rsidRDefault="00000000" w:rsidRPr="00000000" w14:paraId="000001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tl w:val="0"/>
              </w:rPr>
            </w:r>
          </w:p>
        </w:tc>
      </w:tr>
      <w:tr>
        <w:tc>
          <w:tcPr>
            <w:vAlign w:val="center"/>
          </w:tcPr>
          <w:p w:rsidR="00000000" w:rsidDel="00000000" w:rsidP="00000000" w:rsidRDefault="00000000" w:rsidRPr="00000000" w14:paraId="000001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7">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Filosofía analítica y derecho.</w:t>
            </w:r>
          </w:p>
          <w:p w:rsidR="00000000" w:rsidDel="00000000" w:rsidP="00000000" w:rsidRDefault="00000000" w:rsidRPr="00000000" w14:paraId="0000012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Positivismo lógico.</w:t>
            </w:r>
          </w:p>
          <w:p w:rsidR="00000000" w:rsidDel="00000000" w:rsidP="00000000" w:rsidRDefault="00000000" w:rsidRPr="00000000" w14:paraId="0000012A">
            <w:pPr>
              <w:tabs>
                <w:tab w:val="left" w:pos="8708"/>
              </w:tabs>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2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2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Libro de texto e internet.</w:t>
            </w:r>
          </w:p>
        </w:tc>
        <w:tc>
          <w:tcPr>
            <w:vAlign w:val="center"/>
          </w:tcPr>
          <w:p w:rsidR="00000000" w:rsidDel="00000000" w:rsidP="00000000" w:rsidRDefault="00000000" w:rsidRPr="00000000" w14:paraId="0000012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restart"/>
            <w:vAlign w:val="center"/>
          </w:tcPr>
          <w:p w:rsidR="00000000" w:rsidDel="00000000" w:rsidP="00000000" w:rsidRDefault="00000000" w:rsidRPr="00000000" w14:paraId="0000012E">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2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3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Estatus epistemológico de la filosofía analítica.</w:t>
            </w:r>
          </w:p>
          <w:p w:rsidR="00000000" w:rsidDel="00000000" w:rsidP="00000000" w:rsidRDefault="00000000" w:rsidRPr="00000000" w14:paraId="00000132">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3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5">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3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El rechazo a la especulación metafísica.</w:t>
            </w:r>
          </w:p>
          <w:p w:rsidR="00000000" w:rsidDel="00000000" w:rsidP="00000000" w:rsidRDefault="00000000" w:rsidRPr="00000000" w14:paraId="0000013A">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D">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4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1.4 Análisis del lenguaje natural.</w:t>
            </w:r>
          </w:p>
          <w:p w:rsidR="00000000" w:rsidDel="00000000" w:rsidP="00000000" w:rsidRDefault="00000000" w:rsidRPr="00000000" w14:paraId="00000142">
            <w:pPr>
              <w:tabs>
                <w:tab w:val="left" w:pos="8708"/>
              </w:tabs>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4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5">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4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1.5 Herramientas de análisis conceptual.</w:t>
            </w:r>
          </w:p>
          <w:p w:rsidR="00000000" w:rsidDel="00000000" w:rsidP="00000000" w:rsidRDefault="00000000" w:rsidRPr="00000000" w14:paraId="0000014A">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50">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Constructivismo jurídico.</w:t>
            </w:r>
          </w:p>
          <w:p w:rsidR="00000000" w:rsidDel="00000000" w:rsidP="00000000" w:rsidRDefault="00000000" w:rsidRPr="00000000" w14:paraId="0000015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Constructivismo epistemológico.</w:t>
            </w:r>
          </w:p>
          <w:p w:rsidR="00000000" w:rsidDel="00000000" w:rsidP="00000000" w:rsidRDefault="00000000" w:rsidRPr="00000000" w14:paraId="00000153">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6">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Concepto de constructo jurídico.</w:t>
            </w:r>
          </w:p>
          <w:p w:rsidR="00000000" w:rsidDel="00000000" w:rsidP="00000000" w:rsidRDefault="00000000" w:rsidRPr="00000000" w14:paraId="0000015B">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E">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6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Constructivismo jurídico cognitivo.</w:t>
            </w:r>
          </w:p>
          <w:p w:rsidR="00000000" w:rsidDel="00000000" w:rsidP="00000000" w:rsidRDefault="00000000" w:rsidRPr="00000000" w14:paraId="00000163">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6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2.4 Constructivismo jurídico factico. </w:t>
            </w:r>
          </w:p>
          <w:p w:rsidR="00000000" w:rsidDel="00000000" w:rsidP="00000000" w:rsidRDefault="00000000" w:rsidRPr="00000000" w14:paraId="0000016B">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7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2.5 Constructivismo jurídico factico-normativo.</w:t>
            </w:r>
          </w:p>
          <w:p w:rsidR="00000000" w:rsidDel="00000000" w:rsidP="00000000" w:rsidRDefault="00000000" w:rsidRPr="00000000" w14:paraId="00000173">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7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79">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Análisis económico del derecho.</w:t>
            </w:r>
          </w:p>
          <w:p w:rsidR="00000000" w:rsidDel="00000000" w:rsidP="00000000" w:rsidRDefault="00000000" w:rsidRPr="00000000" w14:paraId="0000017B">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Los métodos y conceptos del análisis económico del derecho.</w:t>
            </w:r>
          </w:p>
          <w:p w:rsidR="00000000" w:rsidDel="00000000" w:rsidP="00000000" w:rsidRDefault="00000000" w:rsidRPr="00000000" w14:paraId="0000017D">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7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8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Vertiente positiva en el análisis económico del derecho.</w:t>
            </w:r>
          </w:p>
          <w:p w:rsidR="00000000" w:rsidDel="00000000" w:rsidP="00000000" w:rsidRDefault="00000000" w:rsidRPr="00000000" w14:paraId="00000186">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8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9">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Enfoque normativo del análisis económico del derecho.</w:t>
            </w:r>
          </w:p>
          <w:p w:rsidR="00000000" w:rsidDel="00000000" w:rsidP="00000000" w:rsidRDefault="00000000" w:rsidRPr="00000000" w14:paraId="0000018E">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8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9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5">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3.4 Conceptos fundamentales del análisis económico del derecho.</w:t>
            </w:r>
            <w:r w:rsidDel="00000000" w:rsidR="00000000" w:rsidRPr="00000000">
              <w:rPr>
                <w:rtl w:val="0"/>
              </w:rPr>
            </w:r>
          </w:p>
        </w:tc>
        <w:tc>
          <w:tcPr>
            <w:vAlign w:val="center"/>
          </w:tcPr>
          <w:p w:rsidR="00000000" w:rsidDel="00000000" w:rsidP="00000000" w:rsidRDefault="00000000" w:rsidRPr="00000000" w14:paraId="0000019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9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 Conceptos fundamentales del análisis económico del derecho.</w:t>
            </w:r>
            <w:r w:rsidDel="00000000" w:rsidR="00000000" w:rsidRPr="00000000">
              <w:rPr>
                <w:rtl w:val="0"/>
              </w:rPr>
            </w:r>
          </w:p>
        </w:tc>
        <w:tc>
          <w:tcPr>
            <w:vAlign w:val="center"/>
          </w:tcPr>
          <w:p w:rsidR="00000000" w:rsidDel="00000000" w:rsidP="00000000" w:rsidRDefault="00000000" w:rsidRPr="00000000" w14:paraId="0000019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profesor:</w:t>
      </w:r>
      <w:r w:rsidDel="00000000" w:rsidR="00000000" w:rsidRPr="00000000">
        <w:rPr>
          <w:rFonts w:ascii="Arial" w:cs="Arial" w:eastAsia="Arial" w:hAnsi="Arial"/>
          <w:b w:val="1"/>
          <w:sz w:val="18"/>
          <w:szCs w:val="18"/>
          <w:vertAlign w:val="superscript"/>
        </w:rPr>
        <w:footnoteReference w:customMarkFollows="0" w:id="10"/>
      </w:r>
      <w:r w:rsidDel="00000000" w:rsidR="00000000" w:rsidRPr="00000000">
        <w:rPr>
          <w:rFonts w:ascii="Arial" w:cs="Arial" w:eastAsia="Arial" w:hAnsi="Arial"/>
          <w:b w:val="1"/>
          <w:sz w:val="18"/>
          <w:szCs w:val="18"/>
          <w:rtl w:val="0"/>
        </w:rPr>
        <w:t xml:space="preserve"> </w:t>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A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profesor deberá poseer una formación en Derecho, preferentemente con posgrado orientado a las aéreas de la filosofía y teoría del derecho de las instituciones jurídicas, con formación adicional en pedagogía y didáctica.</w:t>
            </w:r>
          </w:p>
          <w:p w:rsidR="00000000" w:rsidDel="00000000" w:rsidP="00000000" w:rsidRDefault="00000000" w:rsidRPr="00000000" w14:paraId="000001A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9">
      <w:pPr>
        <w:rPr>
          <w:rFonts w:ascii="Arial" w:cs="Arial" w:eastAsia="Arial" w:hAnsi="Arial"/>
          <w:sz w:val="18"/>
          <w:szCs w:val="18"/>
        </w:rPr>
      </w:pPr>
      <w:r w:rsidDel="00000000" w:rsidR="00000000" w:rsidRPr="00000000">
        <w:rPr>
          <w:rtl w:val="0"/>
        </w:rPr>
      </w:r>
    </w:p>
    <w:sectPr>
      <w:headerReference r:id="rId8" w:type="default"/>
      <w:footerReference r:id="rId9" w:type="default"/>
      <w:footerReference r:id="rId10"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1</w:t>
                              </w:r>
                            </w:p>
                          </w:txbxContent>
                        </wps:txbx>
                        <wps:bodyPr anchorCtr="0" anchor="t" bIns="0" lIns="0" spcFirstLastPara="1" rIns="0" wrap="square" tIns="0"/>
                      </wps:wsp>
                      <wpg:grpSp>
                        <wpg:cNvGrpSpPr/>
                        <wpg:grpSpPr>
                          <a:xfrm>
                            <a:off x="5494" y="739"/>
                            <a:ext cx="372" cy="72"/>
                            <a:chOff x="5486" y="739"/>
                            <a:chExt cx="372" cy="72"/>
                          </a:xfrm>
                        </wpg:grpSpPr>
                        <wps:wsp>
                          <wps:cNvSpPr/>
                          <wps:cNvPr id="6" name="Shape 6"/>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inline>
          </w:drawing>
        </mc:Choice>
        <mc:Fallback>
          <w:drawing>
            <wp:inline distB="0" distT="0" distL="0" distR="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6">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7">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8">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-253999</wp:posOffset>
          </wp:positionV>
          <wp:extent cx="740410" cy="94043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Abogado </w:t>
    </w: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