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2">
      <w:pPr>
        <w:ind w:left="360"/>
        <w:jc w:val="left"/>
        <w:rPr>
          <w:rFonts w:ascii="Arial" w:cs="Arial" w:eastAsia="Arial" w:hAnsi="Arial"/>
          <w:b w:val="1"/>
          <w:sz w:val="18"/>
          <w:szCs w:val="18"/>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3260"/>
        <w:gridCol w:w="3559"/>
        <w:tblGridChange w:id="0">
          <w:tblGrid>
            <w:gridCol w:w="3369"/>
            <w:gridCol w:w="3260"/>
            <w:gridCol w:w="3559"/>
          </w:tblGrid>
        </w:tblGridChange>
      </w:tblGrid>
      <w:tr>
        <w:tc>
          <w:tcPr/>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b w:val="1"/>
                <w:sz w:val="16"/>
                <w:szCs w:val="16"/>
                <w:vertAlign w:val="superscript"/>
              </w:rPr>
              <w:footnoteReference w:customMarkFollows="0" w:id="1"/>
            </w:r>
            <w:r w:rsidDel="00000000" w:rsidR="00000000" w:rsidRPr="00000000">
              <w:rPr>
                <w:rFonts w:ascii="Arial" w:cs="Arial" w:eastAsia="Arial" w:hAnsi="Arial"/>
                <w:b w:val="1"/>
                <w:sz w:val="16"/>
                <w:szCs w:val="16"/>
                <w:rtl w:val="0"/>
              </w:rPr>
              <w:t xml:space="preserve">Denominación:</w:t>
            </w:r>
            <w:r w:rsidDel="00000000" w:rsidR="00000000" w:rsidRPr="00000000">
              <w:rPr>
                <w:rFonts w:ascii="Arial" w:cs="Arial" w:eastAsia="Arial" w:hAnsi="Arial"/>
                <w:sz w:val="16"/>
                <w:szCs w:val="16"/>
                <w:rtl w:val="0"/>
              </w:rPr>
              <w:t xml:space="preserve"> Tópicos selectos V</w:t>
            </w:r>
          </w:p>
          <w:p w:rsidR="00000000" w:rsidDel="00000000" w:rsidP="00000000" w:rsidRDefault="00000000" w:rsidRPr="00000000" w14:paraId="00000004">
            <w:pPr>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Seminario de Lectura de Clásicos de Filosofía del Derecho.</w:t>
            </w:r>
          </w:p>
        </w:tc>
        <w:tc>
          <w:tcPr/>
          <w:p w:rsidR="00000000" w:rsidDel="00000000" w:rsidP="00000000" w:rsidRDefault="00000000" w:rsidRPr="00000000" w14:paraId="00000005">
            <w:pPr>
              <w:ind w:left="72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Tipo: Taller</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Pregrado</w:t>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Área de formación: </w:t>
            </w:r>
            <w:r w:rsidDel="00000000" w:rsidR="00000000" w:rsidRPr="00000000">
              <w:rPr>
                <w:rFonts w:ascii="Arial" w:cs="Arial" w:eastAsia="Arial" w:hAnsi="Arial"/>
                <w:sz w:val="16"/>
                <w:szCs w:val="16"/>
                <w:rtl w:val="0"/>
              </w:rPr>
              <w:t xml:space="preserve">Especializante Optativa.</w:t>
            </w:r>
            <w:r w:rsidDel="00000000" w:rsidR="00000000" w:rsidRPr="00000000">
              <w:rPr>
                <w:rtl w:val="0"/>
              </w:rPr>
            </w:r>
          </w:p>
          <w:p w:rsidR="00000000" w:rsidDel="00000000" w:rsidP="00000000" w:rsidRDefault="00000000" w:rsidRPr="00000000" w14:paraId="0000000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Modalidad: Mixta</w:t>
            </w:r>
          </w:p>
          <w:p w:rsidR="00000000" w:rsidDel="00000000" w:rsidP="00000000" w:rsidRDefault="00000000" w:rsidRPr="00000000" w14:paraId="0000000C">
            <w:pPr>
              <w:rPr/>
            </w:pPr>
            <w:r w:rsidDel="00000000" w:rsidR="00000000" w:rsidRPr="00000000">
              <w:rPr>
                <w:rFonts w:ascii="Arial" w:cs="Arial" w:eastAsia="Arial" w:hAnsi="Arial"/>
                <w:color w:val="000000"/>
                <w:sz w:val="16"/>
                <w:szCs w:val="16"/>
                <w:rtl w:val="0"/>
              </w:rPr>
              <w:t xml:space="preserve">(X)</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Escolarizada    (x) Semiescolarizada</w:t>
            </w:r>
            <w:r w:rsidDel="00000000" w:rsidR="00000000" w:rsidRPr="00000000">
              <w:rPr>
                <w:rtl w:val="0"/>
              </w:rPr>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w:t>
            </w:r>
          </w:p>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IC920</w:t>
            </w:r>
          </w:p>
        </w:tc>
      </w:tr>
      <w:tr>
        <w:tc>
          <w:tcPr/>
          <w:p w:rsidR="00000000" w:rsidDel="00000000" w:rsidP="00000000" w:rsidRDefault="00000000" w:rsidRPr="00000000" w14:paraId="00000010">
            <w:pPr>
              <w:rPr/>
            </w:pPr>
            <w:r w:rsidDel="00000000" w:rsidR="00000000" w:rsidRPr="00000000">
              <w:rPr>
                <w:rFonts w:ascii="Arial" w:cs="Arial" w:eastAsia="Arial" w:hAnsi="Arial"/>
                <w:b w:val="1"/>
                <w:color w:val="000000"/>
                <w:sz w:val="16"/>
                <w:szCs w:val="16"/>
                <w:rtl w:val="0"/>
              </w:rPr>
              <w:t xml:space="preserve">Horas totales: 67</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b w:val="1"/>
                <w:color w:val="000000"/>
                <w:sz w:val="16"/>
                <w:szCs w:val="16"/>
                <w:rtl w:val="0"/>
              </w:rPr>
              <w:t xml:space="preserve">Horas teoría:</w:t>
            </w:r>
            <w:r w:rsidDel="00000000" w:rsidR="00000000" w:rsidRPr="00000000">
              <w:rPr>
                <w:rFonts w:ascii="Arial" w:cs="Arial" w:eastAsia="Arial" w:hAnsi="Arial"/>
                <w:color w:val="000000"/>
                <w:sz w:val="16"/>
                <w:szCs w:val="16"/>
                <w:rtl w:val="0"/>
              </w:rPr>
              <w:t xml:space="preserve"> 25</w:t>
            </w:r>
            <w:r w:rsidDel="00000000" w:rsidR="00000000" w:rsidRPr="00000000">
              <w:rPr>
                <w:rtl w:val="0"/>
              </w:rPr>
            </w:r>
          </w:p>
          <w:p w:rsidR="00000000" w:rsidDel="00000000" w:rsidP="00000000" w:rsidRDefault="00000000" w:rsidRPr="00000000" w14:paraId="00000012">
            <w:pPr>
              <w:rPr>
                <w:rFonts w:ascii="Arial" w:cs="Arial" w:eastAsia="Arial" w:hAnsi="Arial"/>
                <w:b w:val="1"/>
                <w:sz w:val="14"/>
                <w:szCs w:val="14"/>
              </w:rPr>
            </w:pPr>
            <w:r w:rsidDel="00000000" w:rsidR="00000000" w:rsidRPr="00000000">
              <w:rPr>
                <w:rFonts w:ascii="Arial" w:cs="Arial" w:eastAsia="Arial" w:hAnsi="Arial"/>
                <w:b w:val="1"/>
                <w:color w:val="000000"/>
                <w:sz w:val="16"/>
                <w:szCs w:val="16"/>
                <w:rtl w:val="0"/>
              </w:rPr>
              <w:t xml:space="preserve">Horas prácticas</w:t>
            </w:r>
            <w:r w:rsidDel="00000000" w:rsidR="00000000" w:rsidRPr="00000000">
              <w:rPr>
                <w:rFonts w:ascii="Arial" w:cs="Arial" w:eastAsia="Arial" w:hAnsi="Arial"/>
                <w:color w:val="000000"/>
                <w:sz w:val="16"/>
                <w:szCs w:val="16"/>
                <w:rtl w:val="0"/>
              </w:rPr>
              <w:t xml:space="preserve">; 42</w:t>
            </w:r>
            <w:r w:rsidDel="00000000" w:rsidR="00000000" w:rsidRPr="00000000">
              <w:rPr>
                <w:rtl w:val="0"/>
              </w:rPr>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Créditos: 6</w:t>
            </w:r>
          </w:p>
        </w:tc>
        <w:tc>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IC921</w:t>
            </w:r>
          </w:p>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tc>
      </w:tr>
      <w:tr>
        <w:tc>
          <w:tcPr>
            <w:gridSpan w:val="2"/>
          </w:tcPr>
          <w:p w:rsidR="00000000" w:rsidDel="00000000" w:rsidP="00000000" w:rsidRDefault="00000000" w:rsidRPr="00000000" w14:paraId="00000017">
            <w:pPr>
              <w:rPr/>
            </w:pPr>
            <w:r w:rsidDel="00000000" w:rsidR="00000000" w:rsidRPr="00000000">
              <w:rPr>
                <w:rFonts w:ascii="Arial" w:cs="Arial" w:eastAsia="Arial" w:hAnsi="Arial"/>
                <w:b w:val="1"/>
                <w:color w:val="000000"/>
                <w:sz w:val="16"/>
                <w:szCs w:val="16"/>
                <w:rtl w:val="0"/>
              </w:rPr>
              <w:t xml:space="preserve">Elaboró:</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000000"/>
                <w:sz w:val="18"/>
                <w:szCs w:val="18"/>
                <w:rtl w:val="0"/>
              </w:rPr>
              <w:t xml:space="preserve">CUCOSTA</w:t>
            </w: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000000"/>
                <w:sz w:val="18"/>
                <w:szCs w:val="18"/>
              </w:rPr>
            </w:pPr>
            <w:bookmarkStart w:colFirst="0" w:colLast="0" w:name="_gjdgxs" w:id="0"/>
            <w:bookmarkEnd w:id="0"/>
            <w:r w:rsidDel="00000000" w:rsidR="00000000" w:rsidRPr="00000000">
              <w:rPr>
                <w:rFonts w:ascii="Arial" w:cs="Arial" w:eastAsia="Arial" w:hAnsi="Arial"/>
                <w:b w:val="1"/>
                <w:color w:val="000000"/>
                <w:sz w:val="18"/>
                <w:szCs w:val="18"/>
                <w:rtl w:val="0"/>
              </w:rPr>
              <w:t xml:space="preserve">Revisión:</w:t>
            </w:r>
          </w:p>
          <w:p w:rsidR="00000000" w:rsidDel="00000000" w:rsidP="00000000" w:rsidRDefault="00000000" w:rsidRPr="00000000" w14:paraId="0000001B">
            <w:pPr>
              <w:rPr>
                <w:rFonts w:ascii="Arial" w:cs="Arial" w:eastAsia="Arial" w:hAnsi="Arial"/>
                <w:b w:val="1"/>
                <w:sz w:val="18"/>
                <w:szCs w:val="18"/>
              </w:rPr>
            </w:pPr>
            <w:bookmarkStart w:colFirst="0" w:colLast="0" w:name="_atjkosmv78l9" w:id="1"/>
            <w:bookmarkEnd w:id="1"/>
            <w:r w:rsidDel="00000000" w:rsidR="00000000" w:rsidRPr="00000000">
              <w:rPr>
                <w:rFonts w:ascii="Arial" w:cs="Arial" w:eastAsia="Arial" w:hAnsi="Arial"/>
                <w:b w:val="1"/>
                <w:sz w:val="18"/>
                <w:szCs w:val="18"/>
                <w:rtl w:val="0"/>
              </w:rPr>
              <w:t xml:space="preserve">Comite Curricular</w:t>
            </w:r>
          </w:p>
          <w:p w:rsidR="00000000" w:rsidDel="00000000" w:rsidP="00000000" w:rsidRDefault="00000000" w:rsidRPr="00000000" w14:paraId="0000001C">
            <w:pPr>
              <w:rPr>
                <w:rFonts w:ascii="Arial" w:cs="Arial" w:eastAsia="Arial" w:hAnsi="Arial"/>
                <w:b w:val="1"/>
                <w:sz w:val="18"/>
                <w:szCs w:val="18"/>
              </w:rPr>
            </w:pPr>
            <w:bookmarkStart w:colFirst="0" w:colLast="0" w:name="_34s1jqlsumhe" w:id="2"/>
            <w:bookmarkEnd w:id="2"/>
            <w:r w:rsidDel="00000000" w:rsidR="00000000" w:rsidRPr="00000000">
              <w:rPr>
                <w:rFonts w:ascii="Arial" w:cs="Arial" w:eastAsia="Arial" w:hAnsi="Arial"/>
                <w:b w:val="1"/>
                <w:sz w:val="18"/>
                <w:szCs w:val="18"/>
                <w:rtl w:val="0"/>
              </w:rPr>
              <w:t xml:space="preserve">Comite Curricular Internacional</w:t>
            </w:r>
          </w:p>
          <w:p w:rsidR="00000000" w:rsidDel="00000000" w:rsidP="00000000" w:rsidRDefault="00000000" w:rsidRPr="00000000" w14:paraId="0000001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Fonts w:ascii="Arial" w:cs="Arial" w:eastAsia="Arial" w:hAnsi="Arial"/>
                <w:b w:val="1"/>
                <w:color w:val="000000"/>
                <w:sz w:val="16"/>
                <w:szCs w:val="16"/>
                <w:rtl w:val="0"/>
              </w:rPr>
              <w:t xml:space="preserve">Fecha de elaboración.</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color w:val="000000"/>
                <w:sz w:val="16"/>
                <w:szCs w:val="16"/>
                <w:rtl w:val="0"/>
              </w:rPr>
              <w:t xml:space="preserve">Enero 2017</w:t>
            </w: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color w:val="000000"/>
                <w:sz w:val="16"/>
                <w:szCs w:val="16"/>
                <w:rtl w:val="0"/>
              </w:rPr>
              <w:t xml:space="preserve">Fecha de revisión:</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color w:val="000000"/>
                <w:sz w:val="16"/>
                <w:szCs w:val="16"/>
                <w:rtl w:val="0"/>
              </w:rPr>
              <w:t xml:space="preserve"> Julio/2018</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perfil de egreso</w:t>
      </w:r>
      <w:r w:rsidDel="00000000" w:rsidR="00000000" w:rsidRPr="00000000">
        <w:rPr>
          <w:rFonts w:ascii="Arial" w:cs="Arial" w:eastAsia="Arial" w:hAnsi="Arial"/>
          <w:b w:val="1"/>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7">
      <w:pPr>
        <w:rPr>
          <w:rFonts w:ascii="Arial" w:cs="Arial" w:eastAsia="Arial" w:hAnsi="Arial"/>
          <w:b w:val="1"/>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18"/>
                <w:szCs w:val="18"/>
              </w:rPr>
            </w:pPr>
            <w:r w:rsidDel="00000000" w:rsidR="00000000" w:rsidRPr="00000000">
              <w:rPr>
                <w:rFonts w:ascii="Arial" w:cs="Arial" w:eastAsia="Arial" w:hAnsi="Arial"/>
                <w:sz w:val="18"/>
                <w:szCs w:val="18"/>
                <w:rtl w:val="0"/>
              </w:rPr>
              <w:t xml:space="preserve">La formación en esta unidad de aprendizaje coadyuva de manera integral en la consecución del perfil de egreso del estudiante, particularmente en las aéreas de argumentación oral y escrita fundándose en principios y razonamientos jurídicos sólidos, estructurados en función de principios jurídicos y bajo el sustento de una teoría jurídica especifica.</w:t>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es fundamental para los estudiantes que se interesen en desarrollar un perfil académico en su desempeño profesional, dado que brinda las herramientas de interpretación conceptual de la filosofía y teoría del derecho, resultando una gran ayuda para coadyuvar a mejorar el desempeño de los estudiantes en general en relación a la argumentación jurídica.</w:t>
            </w:r>
          </w:p>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plan de estudios</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30">
      <w:pPr>
        <w:rPr>
          <w:rFonts w:ascii="Arial" w:cs="Arial" w:eastAsia="Arial" w:hAnsi="Arial"/>
          <w:b w:val="1"/>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Esta unidad de aprendizaje se encamina a colaborar en el desarrollo de competencias en el pensamiento crítico y argumentación, además de proveer herramientas sólidas para las competencias comunicativas. Se relaciona de manera fundamental con las asignaturas de Teoría del Derecho, Interpretación y Argumentación Jurídica y Filosofía del Derecho.</w:t>
            </w:r>
          </w:p>
          <w:p w:rsidR="00000000" w:rsidDel="00000000" w:rsidP="00000000" w:rsidRDefault="00000000" w:rsidRPr="00000000" w14:paraId="00000033">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7">
      <w:pPr>
        <w:rPr>
          <w:rFonts w:ascii="Arial" w:cs="Arial" w:eastAsia="Arial" w:hAnsi="Arial"/>
          <w:b w:val="1"/>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8">
            <w:pPr>
              <w:rPr>
                <w:rFonts w:ascii="Arial" w:cs="Arial" w:eastAsia="Arial" w:hAnsi="Arial"/>
                <w:b w:val="1"/>
                <w:sz w:val="18"/>
                <w:szCs w:val="18"/>
              </w:rPr>
            </w:pPr>
            <w:r w:rsidDel="00000000" w:rsidR="00000000" w:rsidRPr="00000000">
              <w:rPr>
                <w:rtl w:val="0"/>
              </w:rPr>
            </w:r>
          </w:p>
          <w:tbl>
            <w:tblPr>
              <w:tblStyle w:val="Table5"/>
              <w:tblW w:w="9736.000000000002" w:type="dxa"/>
              <w:jc w:val="left"/>
              <w:tblLayout w:type="fixed"/>
              <w:tblLook w:val="0400"/>
            </w:tblPr>
            <w:tblGrid>
              <w:gridCol w:w="6596"/>
              <w:gridCol w:w="1336"/>
              <w:gridCol w:w="737"/>
              <w:gridCol w:w="1067"/>
              <w:tblGridChange w:id="0">
                <w:tblGrid>
                  <w:gridCol w:w="6596"/>
                  <w:gridCol w:w="1336"/>
                  <w:gridCol w:w="737"/>
                  <w:gridCol w:w="1067"/>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9">
                  <w:pPr>
                    <w:jc w:val="center"/>
                    <w:rPr/>
                  </w:pPr>
                  <w:r w:rsidDel="00000000" w:rsidR="00000000" w:rsidRPr="00000000">
                    <w:rPr>
                      <w:rFonts w:ascii="Arial" w:cs="Arial" w:eastAsia="Arial" w:hAnsi="Arial"/>
                      <w:b w:val="1"/>
                      <w:color w:val="000000"/>
                      <w:sz w:val="18"/>
                      <w:szCs w:val="18"/>
                      <w:rtl w:val="0"/>
                    </w:rPr>
                    <w:t xml:space="preserve">Habilidad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A">
                  <w:pPr>
                    <w:jc w:val="center"/>
                    <w:rPr/>
                  </w:pPr>
                  <w:r w:rsidDel="00000000" w:rsidR="00000000" w:rsidRPr="00000000">
                    <w:rPr>
                      <w:rFonts w:ascii="Arial" w:cs="Arial" w:eastAsia="Arial" w:hAnsi="Arial"/>
                      <w:b w:val="1"/>
                      <w:color w:val="000000"/>
                      <w:sz w:val="18"/>
                      <w:szCs w:val="18"/>
                      <w:rtl w:val="0"/>
                    </w:rPr>
                    <w:t xml:space="preserve">Nivel de aportación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E">
                  <w:pPr>
                    <w:jc w:val="center"/>
                    <w:rPr/>
                  </w:pPr>
                  <w:r w:rsidDel="00000000" w:rsidR="00000000" w:rsidRPr="00000000">
                    <w:rPr>
                      <w:rFonts w:ascii="Arial" w:cs="Arial" w:eastAsia="Arial" w:hAnsi="Arial"/>
                      <w:b w:val="1"/>
                      <w:color w:val="000000"/>
                      <w:sz w:val="18"/>
                      <w:szCs w:val="18"/>
                      <w:rtl w:val="0"/>
                    </w:rPr>
                    <w:t xml:space="preserve">Introductorio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F">
                  <w:pPr>
                    <w:jc w:val="center"/>
                    <w:rPr/>
                  </w:pPr>
                  <w:r w:rsidDel="00000000" w:rsidR="00000000" w:rsidRPr="00000000">
                    <w:rPr>
                      <w:rFonts w:ascii="Arial" w:cs="Arial" w:eastAsia="Arial" w:hAnsi="Arial"/>
                      <w:b w:val="1"/>
                      <w:color w:val="000000"/>
                      <w:sz w:val="18"/>
                      <w:szCs w:val="18"/>
                      <w:rtl w:val="0"/>
                    </w:rPr>
                    <w:t xml:space="preserve">Medio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0">
                  <w:pPr>
                    <w:jc w:val="center"/>
                    <w:rPr/>
                  </w:pPr>
                  <w:r w:rsidDel="00000000" w:rsidR="00000000" w:rsidRPr="00000000">
                    <w:rPr>
                      <w:rFonts w:ascii="Arial" w:cs="Arial" w:eastAsia="Arial" w:hAnsi="Arial"/>
                      <w:b w:val="1"/>
                      <w:color w:val="000000"/>
                      <w:sz w:val="18"/>
                      <w:szCs w:val="18"/>
                      <w:rtl w:val="0"/>
                    </w:rPr>
                    <w:t xml:space="preserve">Avanzado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numPr>
                      <w:ilvl w:val="0"/>
                      <w:numId w:val="1"/>
                    </w:numPr>
                    <w:spacing w:after="200" w:lineRule="auto"/>
                    <w:ind w:left="454" w:hanging="42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numPr>
                      <w:ilvl w:val="0"/>
                      <w:numId w:val="2"/>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numPr>
                      <w:ilvl w:val="0"/>
                      <w:numId w:val="3"/>
                    </w:numPr>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p w:rsidR="00000000" w:rsidDel="00000000" w:rsidP="00000000" w:rsidRDefault="00000000" w:rsidRPr="00000000" w14:paraId="0000004A">
                  <w:pPr>
                    <w:spacing w:after="100" w:before="280" w:lineRule="auto"/>
                    <w:ind w:left="94"/>
                    <w:jc w:val="left"/>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69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Atender los diferentes tipos de conflictos, a fin de prevenirlos, y proponer soluciones privilegiando el uso de medios alternativos.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54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 problemas jurídicos con eficiencia, eficacia y oportunidad.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investigación para transmitir y generar conocimiento jurídico.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Manejar, de manera óptima, las tecnologías de la información y comunicación en el desempeño profesional.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Comunicarse a través de un lenguaje técnico jurídico en una segunda lengua.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Desempeñarse en diferentes contextos culturales y sociales, con una visión global.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jc w:val="center"/>
                    <w:rPr/>
                  </w:pPr>
                  <w:r w:rsidDel="00000000" w:rsidR="00000000" w:rsidRPr="00000000">
                    <w:rPr>
                      <w:rtl w:val="0"/>
                    </w:rPr>
                  </w:r>
                </w:p>
              </w:tc>
            </w:tr>
          </w:tbl>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Coadyuvar a que el estudiante desarrolle de manera avanzada una estructura de razonamiento lógico aplicada al derecho, basándose en principios jurídicos y desde la perspectiva de una teoría del derecho.</w:t>
            </w:r>
          </w:p>
          <w:p w:rsidR="00000000" w:rsidDel="00000000" w:rsidP="00000000" w:rsidRDefault="00000000" w:rsidRPr="00000000" w14:paraId="0000007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5">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historia de la filosofía del derecho.</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Proporcional al estudiante los elementos para construir estructuras argumentales coherentes con una teoría del derecho particular, a efectos de que sean consistentes con la misma.</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categorización y los conceptos avanzados de la filosofía del derecho.</w:t>
            </w:r>
            <w:r w:rsidDel="00000000" w:rsidR="00000000" w:rsidRPr="00000000">
              <w:rPr>
                <w:rtl w:val="0"/>
              </w:rPr>
            </w:r>
          </w:p>
          <w:p w:rsidR="00000000" w:rsidDel="00000000" w:rsidP="00000000" w:rsidRDefault="00000000" w:rsidRPr="00000000" w14:paraId="0000007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trHeight w:val="3520" w:hRule="atLeast"/>
        </w:trPr>
        <w:tc>
          <w:tcPr>
            <w:tcBorders>
              <w:right w:color="000000" w:space="0" w:sz="4" w:val="single"/>
            </w:tcBorders>
          </w:tcPr>
          <w:p w:rsidR="00000000" w:rsidDel="00000000" w:rsidP="00000000" w:rsidRDefault="00000000" w:rsidRPr="00000000" w14:paraId="0000008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1">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Kelsen y la Teoría Pura del Derecho.</w:t>
            </w:r>
          </w:p>
          <w:p w:rsidR="00000000" w:rsidDel="00000000" w:rsidP="00000000" w:rsidRDefault="00000000" w:rsidRPr="00000000" w14:paraId="00000082">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Introducción a la Teoría Pura del Derecho.</w:t>
            </w:r>
          </w:p>
          <w:p w:rsidR="00000000" w:rsidDel="00000000" w:rsidP="00000000" w:rsidRDefault="00000000" w:rsidRPr="00000000" w14:paraId="00000083">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Primer y segundo Kelsen.</w:t>
            </w:r>
          </w:p>
          <w:p w:rsidR="00000000" w:rsidDel="00000000" w:rsidP="00000000" w:rsidRDefault="00000000" w:rsidRPr="00000000" w14:paraId="00000084">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Teoría Pura del Derecho, Segunda edición.</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Hart y el positivismo suave.</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Austin y Hart.</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Reglas primarias y secundarias.</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El concepto de derecho.</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Dworkin y los principios.</w:t>
            </w:r>
          </w:p>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Las tesis de Dworkin.</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Dworkin y la polémica con Hart.</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Los derechos en serio.</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Post scriptum al concepto de derecho.</w:t>
            </w:r>
          </w:p>
          <w:p w:rsidR="00000000" w:rsidDel="00000000" w:rsidP="00000000" w:rsidRDefault="00000000" w:rsidRPr="00000000" w14:paraId="00000090">
            <w:pPr>
              <w:spacing w:line="276"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9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Estructura conceptual del curso </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bl>
      <w:tblPr>
        <w:tblStyle w:val="Table9"/>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2"/>
        <w:tblGridChange w:id="0">
          <w:tblGrid>
            <w:gridCol w:w="10112"/>
          </w:tblGrid>
        </w:tblGridChange>
      </w:tblGrid>
      <w:tr>
        <w:tc>
          <w:tcPr/>
          <w:p w:rsidR="00000000" w:rsidDel="00000000" w:rsidP="00000000" w:rsidRDefault="00000000" w:rsidRPr="00000000" w14:paraId="00000099">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9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0" distT="0" distL="0" distR="0">
                  <wp:extent cx="5619750" cy="3400425"/>
                  <wp:effectExtent b="0" l="0" r="0" t="0"/>
                  <wp:docPr id="3" name="image3.jpg"/>
                  <a:graphic>
                    <a:graphicData uri="http://schemas.openxmlformats.org/drawingml/2006/picture">
                      <pic:pic>
                        <pic:nvPicPr>
                          <pic:cNvPr id="0" name="image3.jpg"/>
                          <pic:cNvPicPr preferRelativeResize="0"/>
                        </pic:nvPicPr>
                        <pic:blipFill>
                          <a:blip r:embed="rId7"/>
                          <a:srcRect b="23586" l="4513" r="6738" t="22713"/>
                          <a:stretch>
                            <a:fillRect/>
                          </a:stretch>
                        </pic:blipFill>
                        <pic:spPr>
                          <a:xfrm>
                            <a:off x="0" y="0"/>
                            <a:ext cx="5619750"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9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Modalidad de evaluación </w:t>
      </w:r>
    </w:p>
    <w:p w:rsidR="00000000" w:rsidDel="00000000" w:rsidP="00000000" w:rsidRDefault="00000000" w:rsidRPr="00000000" w14:paraId="000000A0">
      <w:pPr>
        <w:rPr>
          <w:rFonts w:ascii="Arial" w:cs="Arial" w:eastAsia="Arial" w:hAnsi="Arial"/>
          <w:b w:val="1"/>
          <w:sz w:val="18"/>
          <w:szCs w:val="18"/>
        </w:rPr>
      </w:pPr>
      <w:r w:rsidDel="00000000" w:rsidR="00000000" w:rsidRPr="00000000">
        <w:rPr>
          <w:rtl w:val="0"/>
        </w:rPr>
      </w:r>
    </w:p>
    <w:tbl>
      <w:tblPr>
        <w:tblStyle w:val="Table10"/>
        <w:tblW w:w="9918.0" w:type="dxa"/>
        <w:jc w:val="left"/>
        <w:tblInd w:w="0.0" w:type="dxa"/>
        <w:tblLayout w:type="fixed"/>
        <w:tblLook w:val="0400"/>
      </w:tblPr>
      <w:tblGrid>
        <w:gridCol w:w="2848"/>
        <w:gridCol w:w="7070"/>
        <w:tblGridChange w:id="0">
          <w:tblGrid>
            <w:gridCol w:w="2848"/>
            <w:gridCol w:w="707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Instrumento de evaluación</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Factor de ponderación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Exámenes: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Parciales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Globales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Departamentales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 a 40%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Participación en clase: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Grupal</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áulicas: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Estudios de caso</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Ensayos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Cuestionarios</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Monografías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curriculares: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Seminarios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Conferencias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Talleres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a 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Otras:</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bl>
    <w:p w:rsidR="00000000" w:rsidDel="00000000" w:rsidP="00000000" w:rsidRDefault="00000000" w:rsidRPr="00000000" w14:paraId="000000C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C8">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C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CA">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CB">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interiorizara los conceptos relativos a la filosofía y teoría del derecho, enfatizando su relación con la estructura del sistema normativo y los principios jurídicos como fuente </w:t>
            </w:r>
          </w:p>
          <w:p w:rsidR="00000000" w:rsidDel="00000000" w:rsidP="00000000" w:rsidRDefault="00000000" w:rsidRPr="00000000" w14:paraId="000000CC">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C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CE">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resolverá de manera adecuada problemas prácticos planteados en base a la aplicación de principios jurídicos y su interpretación consistente con una teoría jurídica particular.</w:t>
            </w:r>
          </w:p>
          <w:p w:rsidR="00000000" w:rsidDel="00000000" w:rsidP="00000000" w:rsidRDefault="00000000" w:rsidRPr="00000000" w14:paraId="000000D0">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D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adecuara favorablemente la interpretación normativa a los presupuestos derivados de los principios jurídicos, solventando los conflictos y antinomias normativas de y de principios de manera consistente con las diversas teorías jurídicas. </w:t>
            </w:r>
          </w:p>
          <w:p w:rsidR="00000000" w:rsidDel="00000000" w:rsidP="00000000" w:rsidRDefault="00000000" w:rsidRPr="00000000" w14:paraId="000000D6">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D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D8">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Interiorizara la necesidad de identificar argumentos en el discurso jurídico, apreciando el carácter axiológico del discurso jurídico práctico, relacionándolo con teorías jurídicas concretas.</w:t>
            </w:r>
          </w:p>
          <w:p w:rsidR="00000000" w:rsidDel="00000000" w:rsidP="00000000" w:rsidRDefault="00000000" w:rsidRPr="00000000" w14:paraId="000000DA">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DC">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será capaz de articular diversos tipos de discurso argumentativo jurídico, además de las contraargumentaciones pertinentes, de manera eficiente y eficaz, basado en los distintos modelos de razonamiento práctico del derecho y con un sustento en principios y teorías jurídicas particulares.</w:t>
            </w:r>
          </w:p>
          <w:p w:rsidR="00000000" w:rsidDel="00000000" w:rsidP="00000000" w:rsidRDefault="00000000" w:rsidRPr="00000000" w14:paraId="000000DE">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0">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1">
            <w:pPr>
              <w:rPr>
                <w:rFonts w:ascii="Arial" w:cs="Arial" w:eastAsia="Arial" w:hAnsi="Arial"/>
                <w:sz w:val="18"/>
                <w:szCs w:val="18"/>
              </w:rPr>
            </w:pPr>
            <w:bookmarkStart w:colFirst="0" w:colLast="0" w:name="_30j0zll" w:id="3"/>
            <w:bookmarkEnd w:id="3"/>
            <w:r w:rsidDel="00000000" w:rsidR="00000000" w:rsidRPr="00000000">
              <w:rPr>
                <w:rFonts w:ascii="Arial" w:cs="Arial" w:eastAsia="Arial" w:hAnsi="Arial"/>
                <w:sz w:val="18"/>
                <w:szCs w:val="18"/>
                <w:rtl w:val="0"/>
              </w:rPr>
              <w:t xml:space="preserve">Desarrollará habilidades sofisticadas para identificar diversos modelos de discursos argumentativos de carácter jurídico, estableciendo aquellos que tengan un mayor y/o mejor sustento en principios y que sean consistentes con una teoría jurídica particular.</w:t>
            </w:r>
          </w:p>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Desarrollará también las destrezas necesarias para interpretar de modo adecuado, utilizando diferentes modelos interpretativos según sea requerido en cada situación concreta.</w:t>
            </w:r>
          </w:p>
          <w:p w:rsidR="00000000" w:rsidDel="00000000" w:rsidP="00000000" w:rsidRDefault="00000000" w:rsidRPr="00000000" w14:paraId="000000E3">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E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BÁSICA</w:t>
      </w:r>
    </w:p>
    <w:p w:rsidR="00000000" w:rsidDel="00000000" w:rsidP="00000000" w:rsidRDefault="00000000" w:rsidRPr="00000000" w14:paraId="000000E8">
      <w:pPr>
        <w:rPr>
          <w:rFonts w:ascii="Arial" w:cs="Arial" w:eastAsia="Arial" w:hAnsi="Arial"/>
          <w:b w:val="1"/>
          <w:sz w:val="18"/>
          <w:szCs w:val="18"/>
        </w:rPr>
      </w:pPr>
      <w:r w:rsidDel="00000000" w:rsidR="00000000" w:rsidRPr="00000000">
        <w:rPr>
          <w:rtl w:val="0"/>
        </w:rPr>
      </w:r>
    </w:p>
    <w:tbl>
      <w:tblPr>
        <w:tblStyle w:val="Table12"/>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
        <w:gridCol w:w="1519"/>
        <w:gridCol w:w="1409"/>
        <w:gridCol w:w="763"/>
        <w:gridCol w:w="5179"/>
        <w:tblGridChange w:id="0">
          <w:tblGrid>
            <w:gridCol w:w="1318"/>
            <w:gridCol w:w="1519"/>
            <w:gridCol w:w="1409"/>
            <w:gridCol w:w="763"/>
            <w:gridCol w:w="5179"/>
          </w:tblGrid>
        </w:tblGridChange>
      </w:tblGrid>
      <w:tr>
        <w:tc>
          <w:tcPr>
            <w:vAlign w:val="center"/>
          </w:tcPr>
          <w:p w:rsidR="00000000" w:rsidDel="00000000" w:rsidP="00000000" w:rsidRDefault="00000000" w:rsidRPr="00000000" w14:paraId="000000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0E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0E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0E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0E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0E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Kelsen, Hans</w:t>
            </w:r>
          </w:p>
        </w:tc>
        <w:tc>
          <w:tcPr>
            <w:vAlign w:val="center"/>
          </w:tcPr>
          <w:p w:rsidR="00000000" w:rsidDel="00000000" w:rsidP="00000000" w:rsidRDefault="00000000" w:rsidRPr="00000000" w14:paraId="000000E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La teoría pura del derecho</w:t>
            </w:r>
          </w:p>
        </w:tc>
        <w:tc>
          <w:tcPr>
            <w:vAlign w:val="center"/>
          </w:tcPr>
          <w:p w:rsidR="00000000" w:rsidDel="00000000" w:rsidP="00000000" w:rsidRDefault="00000000" w:rsidRPr="00000000" w14:paraId="000000F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0F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1986.</w:t>
            </w:r>
          </w:p>
        </w:tc>
        <w:tc>
          <w:tcPr>
            <w:vAlign w:val="center"/>
          </w:tcPr>
          <w:p w:rsidR="00000000" w:rsidDel="00000000" w:rsidP="00000000" w:rsidRDefault="00000000" w:rsidRPr="00000000" w14:paraId="000000F2">
            <w:pPr>
              <w:jc w:val="center"/>
              <w:rPr>
                <w:rFonts w:ascii="Arial" w:cs="Arial" w:eastAsia="Arial" w:hAnsi="Arial"/>
                <w:sz w:val="18"/>
                <w:szCs w:val="18"/>
              </w:rPr>
            </w:pPr>
            <w:hyperlink r:id="rId8">
              <w:r w:rsidDel="00000000" w:rsidR="00000000" w:rsidRPr="00000000">
                <w:rPr>
                  <w:rFonts w:ascii="Arial" w:cs="Arial" w:eastAsia="Arial" w:hAnsi="Arial"/>
                  <w:color w:val="0000ff"/>
                  <w:sz w:val="18"/>
                  <w:szCs w:val="18"/>
                  <w:u w:val="single"/>
                  <w:rtl w:val="0"/>
                </w:rPr>
                <w:t xml:space="preserve">https://archivos.juridicas.unam.mx/www/bjv/libros/3/1039/1.pdf</w:t>
              </w:r>
            </w:hyperlink>
            <w:r w:rsidDel="00000000" w:rsidR="00000000" w:rsidRPr="00000000">
              <w:rPr>
                <w:rFonts w:ascii="Arial" w:cs="Arial" w:eastAsia="Arial" w:hAnsi="Arial"/>
                <w:sz w:val="18"/>
                <w:szCs w:val="18"/>
                <w:rtl w:val="0"/>
              </w:rPr>
              <w:t xml:space="preserve"> </w:t>
            </w:r>
          </w:p>
        </w:tc>
      </w:tr>
      <w:tr>
        <w:tc>
          <w:tcPr>
            <w:vAlign w:val="center"/>
          </w:tcPr>
          <w:p w:rsidR="00000000" w:rsidDel="00000000" w:rsidP="00000000" w:rsidRDefault="00000000" w:rsidRPr="00000000" w14:paraId="000000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Hart, H.L.A.</w:t>
            </w:r>
          </w:p>
        </w:tc>
        <w:tc>
          <w:tcPr>
            <w:vAlign w:val="center"/>
          </w:tcPr>
          <w:p w:rsidR="00000000" w:rsidDel="00000000" w:rsidP="00000000" w:rsidRDefault="00000000" w:rsidRPr="00000000" w14:paraId="000000F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concepto de derecho.</w:t>
            </w:r>
          </w:p>
        </w:tc>
        <w:tc>
          <w:tcPr>
            <w:vAlign w:val="center"/>
          </w:tcPr>
          <w:p w:rsidR="00000000" w:rsidDel="00000000" w:rsidP="00000000" w:rsidRDefault="00000000" w:rsidRPr="00000000" w14:paraId="000000F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Abeledo-Perrot</w:t>
            </w:r>
          </w:p>
        </w:tc>
        <w:tc>
          <w:tcPr>
            <w:vAlign w:val="center"/>
          </w:tcPr>
          <w:p w:rsidR="00000000" w:rsidDel="00000000" w:rsidP="00000000" w:rsidRDefault="00000000" w:rsidRPr="00000000" w14:paraId="000000F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S/F</w:t>
            </w:r>
          </w:p>
        </w:tc>
        <w:tc>
          <w:tcPr>
            <w:vAlign w:val="center"/>
          </w:tcPr>
          <w:p w:rsidR="00000000" w:rsidDel="00000000" w:rsidP="00000000" w:rsidRDefault="00000000" w:rsidRPr="00000000" w14:paraId="000000F7">
            <w:pPr>
              <w:jc w:val="center"/>
              <w:rPr>
                <w:rFonts w:ascii="Arial" w:cs="Arial" w:eastAsia="Arial" w:hAnsi="Arial"/>
                <w:sz w:val="18"/>
                <w:szCs w:val="18"/>
              </w:rPr>
            </w:pPr>
            <w:hyperlink r:id="rId9">
              <w:r w:rsidDel="00000000" w:rsidR="00000000" w:rsidRPr="00000000">
                <w:rPr>
                  <w:rFonts w:ascii="Arial" w:cs="Arial" w:eastAsia="Arial" w:hAnsi="Arial"/>
                  <w:color w:val="0000ff"/>
                  <w:sz w:val="18"/>
                  <w:szCs w:val="18"/>
                  <w:u w:val="single"/>
                  <w:rtl w:val="0"/>
                </w:rPr>
                <w:t xml:space="preserve">http://www.academia.edu/6574051/28490884-El-Concepto-de-Derecho-Herbert-Hart</w:t>
              </w:r>
            </w:hyperlink>
            <w:r w:rsidDel="00000000" w:rsidR="00000000" w:rsidRPr="00000000">
              <w:rPr>
                <w:rFonts w:ascii="Arial" w:cs="Arial" w:eastAsia="Arial" w:hAnsi="Arial"/>
                <w:sz w:val="18"/>
                <w:szCs w:val="18"/>
                <w:rtl w:val="0"/>
              </w:rPr>
              <w:t xml:space="preserve"> </w:t>
            </w:r>
          </w:p>
        </w:tc>
      </w:tr>
      <w:tr>
        <w:tc>
          <w:tcPr>
            <w:vAlign w:val="center"/>
          </w:tcPr>
          <w:p w:rsidR="00000000" w:rsidDel="00000000" w:rsidP="00000000" w:rsidRDefault="00000000" w:rsidRPr="00000000" w14:paraId="000000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Dworkin, Ronald.</w:t>
            </w:r>
          </w:p>
        </w:tc>
        <w:tc>
          <w:tcPr>
            <w:vAlign w:val="center"/>
          </w:tcPr>
          <w:p w:rsidR="00000000" w:rsidDel="00000000" w:rsidP="00000000" w:rsidRDefault="00000000" w:rsidRPr="00000000" w14:paraId="000000F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Los derechos en serio.</w:t>
            </w:r>
          </w:p>
        </w:tc>
        <w:tc>
          <w:tcPr>
            <w:vAlign w:val="center"/>
          </w:tcPr>
          <w:p w:rsidR="00000000" w:rsidDel="00000000" w:rsidP="00000000" w:rsidRDefault="00000000" w:rsidRPr="00000000" w14:paraId="000000F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Ariel.</w:t>
            </w:r>
          </w:p>
        </w:tc>
        <w:tc>
          <w:tcPr>
            <w:vAlign w:val="center"/>
          </w:tcPr>
          <w:p w:rsidR="00000000" w:rsidDel="00000000" w:rsidP="00000000" w:rsidRDefault="00000000" w:rsidRPr="00000000" w14:paraId="000000F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1989</w:t>
            </w:r>
          </w:p>
        </w:tc>
        <w:tc>
          <w:tcPr>
            <w:vAlign w:val="center"/>
          </w:tcPr>
          <w:p w:rsidR="00000000" w:rsidDel="00000000" w:rsidP="00000000" w:rsidRDefault="00000000" w:rsidRPr="00000000" w14:paraId="000000FC">
            <w:pPr>
              <w:jc w:val="center"/>
              <w:rPr>
                <w:rFonts w:ascii="Arial" w:cs="Arial" w:eastAsia="Arial" w:hAnsi="Arial"/>
                <w:sz w:val="18"/>
                <w:szCs w:val="18"/>
              </w:rPr>
            </w:pPr>
            <w:hyperlink r:id="rId10">
              <w:r w:rsidDel="00000000" w:rsidR="00000000" w:rsidRPr="00000000">
                <w:rPr>
                  <w:rFonts w:ascii="Arial" w:cs="Arial" w:eastAsia="Arial" w:hAnsi="Arial"/>
                  <w:color w:val="0000ff"/>
                  <w:sz w:val="18"/>
                  <w:szCs w:val="18"/>
                  <w:u w:val="single"/>
                  <w:rtl w:val="0"/>
                </w:rPr>
                <w:t xml:space="preserve">https://legis.pe/wp-content/uploads/2017/09/Descargue-en-PDF-Los-Derechos-en-serio-de-Ronal-Dworkin-Legis.pe_.pdf</w:t>
              </w:r>
            </w:hyperlink>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COMPLEMENTARIA</w:t>
      </w:r>
    </w:p>
    <w:p w:rsidR="00000000" w:rsidDel="00000000" w:rsidP="00000000" w:rsidRDefault="00000000" w:rsidRPr="00000000" w14:paraId="00000101">
      <w:pPr>
        <w:rPr>
          <w:rFonts w:ascii="Arial" w:cs="Arial" w:eastAsia="Arial" w:hAnsi="Arial"/>
          <w:b w:val="1"/>
          <w:sz w:val="18"/>
          <w:szCs w:val="18"/>
        </w:rPr>
      </w:pPr>
      <w:r w:rsidDel="00000000" w:rsidR="00000000" w:rsidRPr="00000000">
        <w:rPr>
          <w:rtl w:val="0"/>
        </w:rPr>
      </w:r>
    </w:p>
    <w:tbl>
      <w:tblPr>
        <w:tblStyle w:val="Table1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6"/>
        <w:gridCol w:w="1629"/>
        <w:gridCol w:w="1436"/>
        <w:gridCol w:w="748"/>
        <w:gridCol w:w="5019"/>
        <w:tblGridChange w:id="0">
          <w:tblGrid>
            <w:gridCol w:w="1356"/>
            <w:gridCol w:w="1629"/>
            <w:gridCol w:w="1436"/>
            <w:gridCol w:w="748"/>
            <w:gridCol w:w="5019"/>
          </w:tblGrid>
        </w:tblGridChange>
      </w:tblGrid>
      <w:tr>
        <w:tc>
          <w:tcPr>
            <w:vAlign w:val="center"/>
          </w:tcPr>
          <w:p w:rsidR="00000000" w:rsidDel="00000000" w:rsidP="00000000" w:rsidRDefault="00000000" w:rsidRPr="00000000" w14:paraId="0000010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10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1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10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10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10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Villoro Toranzo, Miguel</w:t>
            </w:r>
          </w:p>
        </w:tc>
        <w:tc>
          <w:tcPr>
            <w:vAlign w:val="center"/>
          </w:tcPr>
          <w:p w:rsidR="00000000" w:rsidDel="00000000" w:rsidP="00000000" w:rsidRDefault="00000000" w:rsidRPr="00000000" w14:paraId="0000010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Lecciones de filosofía del derecho.</w:t>
            </w:r>
          </w:p>
        </w:tc>
        <w:tc>
          <w:tcPr>
            <w:vAlign w:val="center"/>
          </w:tcPr>
          <w:p w:rsidR="00000000" w:rsidDel="00000000" w:rsidP="00000000" w:rsidRDefault="00000000" w:rsidRPr="00000000" w14:paraId="0000010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2015</w:t>
            </w:r>
          </w:p>
        </w:tc>
        <w:tc>
          <w:tcPr>
            <w:vAlign w:val="center"/>
          </w:tcPr>
          <w:p w:rsidR="00000000" w:rsidDel="00000000" w:rsidP="00000000" w:rsidRDefault="00000000" w:rsidRPr="00000000" w14:paraId="0000010B">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0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González Morfin, Efraín</w:t>
            </w:r>
          </w:p>
        </w:tc>
        <w:tc>
          <w:tcPr>
            <w:vAlign w:val="center"/>
          </w:tcPr>
          <w:p w:rsidR="00000000" w:rsidDel="00000000" w:rsidP="00000000" w:rsidRDefault="00000000" w:rsidRPr="00000000" w14:paraId="000001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de filosofía del derecho.</w:t>
            </w:r>
          </w:p>
        </w:tc>
        <w:tc>
          <w:tcPr>
            <w:vAlign w:val="center"/>
          </w:tcPr>
          <w:p w:rsidR="00000000" w:rsidDel="00000000" w:rsidP="00000000" w:rsidRDefault="00000000" w:rsidRPr="00000000" w14:paraId="000001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2003</w:t>
            </w:r>
          </w:p>
        </w:tc>
        <w:tc>
          <w:tcPr>
            <w:vAlign w:val="center"/>
          </w:tcPr>
          <w:p w:rsidR="00000000" w:rsidDel="00000000" w:rsidP="00000000" w:rsidRDefault="00000000" w:rsidRPr="00000000" w14:paraId="00000110">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Hart, H.L.A.</w:t>
            </w:r>
          </w:p>
        </w:tc>
        <w:tc>
          <w:tcPr>
            <w:vAlign w:val="center"/>
          </w:tcPr>
          <w:p w:rsidR="00000000" w:rsidDel="00000000" w:rsidP="00000000" w:rsidRDefault="00000000" w:rsidRPr="00000000" w14:paraId="000001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Post scriptum al concepto de derecho.</w:t>
            </w:r>
          </w:p>
        </w:tc>
        <w:tc>
          <w:tcPr>
            <w:vAlign w:val="center"/>
          </w:tcPr>
          <w:p w:rsidR="00000000" w:rsidDel="00000000" w:rsidP="00000000" w:rsidRDefault="00000000" w:rsidRPr="00000000" w14:paraId="000001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IIJ UNAM.</w:t>
            </w:r>
          </w:p>
        </w:tc>
        <w:tc>
          <w:tcPr>
            <w:vAlign w:val="center"/>
          </w:tcPr>
          <w:p w:rsidR="00000000" w:rsidDel="00000000" w:rsidP="00000000" w:rsidRDefault="00000000" w:rsidRPr="00000000" w14:paraId="000001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2000</w:t>
            </w:r>
          </w:p>
        </w:tc>
        <w:tc>
          <w:tcPr>
            <w:vAlign w:val="center"/>
          </w:tcPr>
          <w:p w:rsidR="00000000" w:rsidDel="00000000" w:rsidP="00000000" w:rsidRDefault="00000000" w:rsidRPr="00000000" w14:paraId="00000115">
            <w:pPr>
              <w:jc w:val="center"/>
              <w:rPr>
                <w:rFonts w:ascii="Arial" w:cs="Arial" w:eastAsia="Arial" w:hAnsi="Arial"/>
                <w:sz w:val="18"/>
                <w:szCs w:val="18"/>
              </w:rPr>
            </w:pPr>
            <w:hyperlink r:id="rId11">
              <w:r w:rsidDel="00000000" w:rsidR="00000000" w:rsidRPr="00000000">
                <w:rPr>
                  <w:rFonts w:ascii="Arial" w:cs="Arial" w:eastAsia="Arial" w:hAnsi="Arial"/>
                  <w:color w:val="0000ff"/>
                  <w:sz w:val="18"/>
                  <w:szCs w:val="18"/>
                  <w:u w:val="single"/>
                  <w:rtl w:val="0"/>
                </w:rPr>
                <w:t xml:space="preserve">https://archivos.juridicas.unam.mx/www/bjv/libros/1/38/tc.pdf</w:t>
              </w:r>
            </w:hyperlink>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11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1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 PLANEACIÓN POR SEMANAS</w:t>
      </w:r>
      <w:r w:rsidDel="00000000" w:rsidR="00000000" w:rsidRPr="00000000">
        <w:rPr>
          <w:rtl w:val="0"/>
        </w:rPr>
      </w:r>
    </w:p>
    <w:p w:rsidR="00000000" w:rsidDel="00000000" w:rsidP="00000000" w:rsidRDefault="00000000" w:rsidRPr="00000000" w14:paraId="0000011A">
      <w:pPr>
        <w:rPr>
          <w:rFonts w:ascii="Arial" w:cs="Arial" w:eastAsia="Arial" w:hAnsi="Arial"/>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
        <w:gridCol w:w="1212"/>
        <w:gridCol w:w="2608"/>
        <w:gridCol w:w="1451"/>
        <w:gridCol w:w="1159"/>
        <w:gridCol w:w="1449"/>
        <w:gridCol w:w="1496"/>
        <w:tblGridChange w:id="0">
          <w:tblGrid>
            <w:gridCol w:w="813"/>
            <w:gridCol w:w="1212"/>
            <w:gridCol w:w="2608"/>
            <w:gridCol w:w="1451"/>
            <w:gridCol w:w="1159"/>
            <w:gridCol w:w="1449"/>
            <w:gridCol w:w="1496"/>
          </w:tblGrid>
        </w:tblGridChange>
      </w:tblGrid>
      <w:tr>
        <w:tc>
          <w:tcPr>
            <w:vAlign w:val="center"/>
          </w:tcPr>
          <w:p w:rsidR="00000000" w:rsidDel="00000000" w:rsidP="00000000" w:rsidRDefault="00000000" w:rsidRPr="00000000" w14:paraId="0000011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1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1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1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2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c>
          <w:tcPr>
            <w:vAlign w:val="center"/>
          </w:tcPr>
          <w:p w:rsidR="00000000" w:rsidDel="00000000" w:rsidP="00000000" w:rsidRDefault="00000000" w:rsidRPr="00000000" w14:paraId="0000012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tl w:val="0"/>
              </w:rPr>
            </w:r>
          </w:p>
        </w:tc>
      </w:tr>
      <w:tr>
        <w:tc>
          <w:tcPr>
            <w:vAlign w:val="center"/>
          </w:tcPr>
          <w:p w:rsidR="00000000" w:rsidDel="00000000" w:rsidP="00000000" w:rsidRDefault="00000000" w:rsidRPr="00000000" w14:paraId="0000012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3">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Kelsen y la Teoría Pura del Derecho.</w:t>
            </w:r>
          </w:p>
          <w:p w:rsidR="00000000" w:rsidDel="00000000" w:rsidP="00000000" w:rsidRDefault="00000000" w:rsidRPr="00000000" w14:paraId="0000012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5">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Introducción a la Teoría Pura del Derecho.</w:t>
            </w:r>
          </w:p>
          <w:p w:rsidR="00000000" w:rsidDel="00000000" w:rsidP="00000000" w:rsidRDefault="00000000" w:rsidRPr="00000000" w14:paraId="00000126">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Primer y segundo Kelsen.</w:t>
            </w:r>
          </w:p>
        </w:tc>
        <w:tc>
          <w:tcPr>
            <w:vAlign w:val="center"/>
          </w:tcPr>
          <w:p w:rsidR="00000000" w:rsidDel="00000000" w:rsidP="00000000" w:rsidRDefault="00000000" w:rsidRPr="00000000" w14:paraId="000001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Libro de texto e internet.</w:t>
            </w:r>
          </w:p>
        </w:tc>
        <w:tc>
          <w:tcPr>
            <w:vAlign w:val="center"/>
          </w:tcPr>
          <w:p w:rsidR="00000000" w:rsidDel="00000000" w:rsidP="00000000" w:rsidRDefault="00000000" w:rsidRPr="00000000" w14:paraId="000001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restart"/>
            <w:vAlign w:val="center"/>
          </w:tcPr>
          <w:p w:rsidR="00000000" w:rsidDel="00000000" w:rsidP="00000000" w:rsidRDefault="00000000" w:rsidRPr="00000000" w14:paraId="0000012A">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2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D">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Teoría Pura del Derecho, Segunda edición.</w:t>
            </w:r>
          </w:p>
          <w:p w:rsidR="00000000" w:rsidDel="00000000" w:rsidP="00000000" w:rsidRDefault="00000000" w:rsidRPr="00000000" w14:paraId="0000012E">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2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1">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5">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Teoría Pura del Derecho, Segunda edición.</w:t>
            </w:r>
          </w:p>
          <w:p w:rsidR="00000000" w:rsidDel="00000000" w:rsidP="00000000" w:rsidRDefault="00000000" w:rsidRPr="00000000" w14:paraId="00000136">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9">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3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D">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Teoría Pura del Derecho, Segunda edición.</w:t>
            </w:r>
          </w:p>
          <w:p w:rsidR="00000000" w:rsidDel="00000000" w:rsidP="00000000" w:rsidRDefault="00000000" w:rsidRPr="00000000" w14:paraId="0000013E">
            <w:pPr>
              <w:tabs>
                <w:tab w:val="left" w:pos="8708"/>
              </w:tabs>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1">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4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5">
            <w:pPr>
              <w:tabs>
                <w:tab w:val="left" w:pos="8708"/>
              </w:tabs>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Teoría Pura del Derecho, Segunda edición.</w:t>
            </w:r>
          </w:p>
          <w:p w:rsidR="00000000" w:rsidDel="00000000" w:rsidP="00000000" w:rsidRDefault="00000000" w:rsidRPr="00000000" w14:paraId="00000146">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4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9">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4C">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Hart y el positivismo suave.</w:t>
            </w:r>
          </w:p>
          <w:p w:rsidR="00000000" w:rsidDel="00000000" w:rsidP="00000000" w:rsidRDefault="00000000" w:rsidRPr="00000000" w14:paraId="0000014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Austin y Hart.</w:t>
            </w:r>
          </w:p>
          <w:p w:rsidR="00000000" w:rsidDel="00000000" w:rsidP="00000000" w:rsidRDefault="00000000" w:rsidRPr="00000000" w14:paraId="0000014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Reglas primarias y secundarias.</w:t>
            </w:r>
          </w:p>
          <w:p w:rsidR="00000000" w:rsidDel="00000000" w:rsidP="00000000" w:rsidRDefault="00000000" w:rsidRPr="00000000" w14:paraId="00000150">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3">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5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7">
            <w:pPr>
              <w:spacing w:line="276" w:lineRule="auto"/>
              <w:ind w:left="-113"/>
              <w:rPr>
                <w:rFonts w:ascii="Arial" w:cs="Arial" w:eastAsia="Arial" w:hAnsi="Arial"/>
                <w:sz w:val="18"/>
                <w:szCs w:val="18"/>
              </w:rPr>
            </w:pPr>
            <w:r w:rsidDel="00000000" w:rsidR="00000000" w:rsidRPr="00000000">
              <w:rPr>
                <w:rFonts w:ascii="Arial" w:cs="Arial" w:eastAsia="Arial" w:hAnsi="Arial"/>
                <w:sz w:val="18"/>
                <w:szCs w:val="18"/>
                <w:rtl w:val="0"/>
              </w:rPr>
              <w:t xml:space="preserve">2.3 El concepto de derecho</w:t>
            </w:r>
          </w:p>
        </w:tc>
        <w:tc>
          <w:tcPr>
            <w:vAlign w:val="center"/>
          </w:tcPr>
          <w:p w:rsidR="00000000" w:rsidDel="00000000" w:rsidP="00000000" w:rsidRDefault="00000000" w:rsidRPr="00000000" w14:paraId="0000015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A">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5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E">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2.3 El concepto de derecho</w:t>
            </w:r>
            <w:r w:rsidDel="00000000" w:rsidR="00000000" w:rsidRPr="00000000">
              <w:rPr>
                <w:rtl w:val="0"/>
              </w:rPr>
            </w:r>
          </w:p>
        </w:tc>
        <w:tc>
          <w:tcPr>
            <w:vAlign w:val="center"/>
          </w:tcPr>
          <w:p w:rsidR="00000000" w:rsidDel="00000000" w:rsidP="00000000" w:rsidRDefault="00000000" w:rsidRPr="00000000" w14:paraId="000001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6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5">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2.3 El concepto de derecho</w:t>
            </w:r>
            <w:r w:rsidDel="00000000" w:rsidR="00000000" w:rsidRPr="00000000">
              <w:rPr>
                <w:rtl w:val="0"/>
              </w:rPr>
            </w:r>
          </w:p>
        </w:tc>
        <w:tc>
          <w:tcPr>
            <w:vAlign w:val="center"/>
          </w:tcPr>
          <w:p w:rsidR="00000000" w:rsidDel="00000000" w:rsidP="00000000" w:rsidRDefault="00000000" w:rsidRPr="00000000" w14:paraId="0000016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6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6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El concepto de derecho</w:t>
            </w:r>
          </w:p>
        </w:tc>
        <w:tc>
          <w:tcPr>
            <w:vAlign w:val="center"/>
          </w:tcPr>
          <w:p w:rsidR="00000000" w:rsidDel="00000000" w:rsidP="00000000" w:rsidRDefault="00000000" w:rsidRPr="00000000" w14:paraId="0000016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72">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Dworkin y los principios.</w:t>
            </w:r>
          </w:p>
          <w:p w:rsidR="00000000" w:rsidDel="00000000" w:rsidP="00000000" w:rsidRDefault="00000000" w:rsidRPr="00000000" w14:paraId="00000173">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Las tesis de Dworkin.</w:t>
            </w:r>
          </w:p>
          <w:p w:rsidR="00000000" w:rsidDel="00000000" w:rsidP="00000000" w:rsidRDefault="00000000" w:rsidRPr="00000000" w14:paraId="000001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Dworkin y la polémica con Hart.</w:t>
            </w:r>
          </w:p>
        </w:tc>
        <w:tc>
          <w:tcPr>
            <w:vAlign w:val="center"/>
          </w:tcPr>
          <w:p w:rsidR="00000000" w:rsidDel="00000000" w:rsidP="00000000" w:rsidRDefault="00000000" w:rsidRPr="00000000" w14:paraId="0000017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7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Los derechos en serio.</w:t>
            </w:r>
          </w:p>
          <w:p w:rsidR="00000000" w:rsidDel="00000000" w:rsidP="00000000" w:rsidRDefault="00000000" w:rsidRPr="00000000" w14:paraId="0000017D">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7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8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Los derechos en serio.</w:t>
            </w:r>
          </w:p>
          <w:p w:rsidR="00000000" w:rsidDel="00000000" w:rsidP="00000000" w:rsidRDefault="00000000" w:rsidRPr="00000000" w14:paraId="00000185">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8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Los derechos en serio.</w:t>
            </w:r>
          </w:p>
          <w:p w:rsidR="00000000" w:rsidDel="00000000" w:rsidP="00000000" w:rsidRDefault="00000000" w:rsidRPr="00000000" w14:paraId="0000018D">
            <w:pP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9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Post scriptum al concepto de derecho.</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9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profesor:</w:t>
      </w:r>
      <w:r w:rsidDel="00000000" w:rsidR="00000000" w:rsidRPr="00000000">
        <w:rPr>
          <w:rFonts w:ascii="Arial" w:cs="Arial" w:eastAsia="Arial" w:hAnsi="Arial"/>
          <w:b w:val="1"/>
          <w:sz w:val="18"/>
          <w:szCs w:val="18"/>
          <w:vertAlign w:val="superscript"/>
        </w:rPr>
        <w:footnoteReference w:customMarkFollows="0" w:id="10"/>
      </w:r>
      <w:r w:rsidDel="00000000" w:rsidR="00000000" w:rsidRPr="00000000">
        <w:rPr>
          <w:rFonts w:ascii="Arial" w:cs="Arial" w:eastAsia="Arial" w:hAnsi="Arial"/>
          <w:b w:val="1"/>
          <w:sz w:val="18"/>
          <w:szCs w:val="18"/>
          <w:rtl w:val="0"/>
        </w:rPr>
        <w:t xml:space="preserve"> </w:t>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9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profesor deberá poseer una formación en Derecho, preferentemente con posgrado orientado a las aéreas de la filosofía y teoría del derecho de las instituciones jurídicas, con formación adicional en pedagogía y didáctica.</w:t>
            </w:r>
          </w:p>
          <w:p w:rsidR="00000000" w:rsidDel="00000000" w:rsidP="00000000" w:rsidRDefault="00000000" w:rsidRPr="00000000" w14:paraId="000001A0">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2">
      <w:pPr>
        <w:rPr>
          <w:rFonts w:ascii="Arial" w:cs="Arial" w:eastAsia="Arial" w:hAnsi="Arial"/>
          <w:sz w:val="18"/>
          <w:szCs w:val="18"/>
        </w:rPr>
      </w:pPr>
      <w:r w:rsidDel="00000000" w:rsidR="00000000" w:rsidRPr="00000000">
        <w:rPr>
          <w:rtl w:val="0"/>
        </w:rPr>
      </w:r>
    </w:p>
    <w:sectPr>
      <w:headerReference r:id="rId12" w:type="default"/>
      <w:footerReference r:id="rId13" w:type="default"/>
      <w:footerReference r:id="rId14"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1</w:t>
                              </w:r>
                            </w:p>
                          </w:txbxContent>
                        </wps:txbx>
                        <wps:bodyPr anchorCtr="0" anchor="t" bIns="0" lIns="0" spcFirstLastPara="1" rIns="0" wrap="square" tIns="0"/>
                      </wps:wsp>
                      <wpg:grpSp>
                        <wpg:cNvGrpSpPr/>
                        <wpg:grpSpPr>
                          <a:xfrm>
                            <a:off x="5494" y="739"/>
                            <a:ext cx="372" cy="72"/>
                            <a:chOff x="5486" y="739"/>
                            <a:chExt cx="372" cy="72"/>
                          </a:xfrm>
                        </wpg:grpSpPr>
                        <wps:wsp>
                          <wps:cNvSpPr/>
                          <wps:cNvPr id="6" name="Shape 6"/>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inline>
          </w:drawing>
        </mc:Choice>
        <mc:Fallback>
          <w:drawing>
            <wp:inline distB="0" distT="0" distL="0" distR="0">
              <wp:extent cx="418465" cy="22161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6">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7">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8">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-253999</wp:posOffset>
          </wp:positionV>
          <wp:extent cx="740410" cy="94043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Abogado </w:t>
    </w: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rchivos.juridicas.unam.mx/www/bjv/libros/1/38/tc.pdf" TargetMode="External"/><Relationship Id="rId10" Type="http://schemas.openxmlformats.org/officeDocument/2006/relationships/hyperlink" Target="https://legis.pe/wp-content/uploads/2017/09/Descargue-en-PDF-Los-Derechos-en-serio-de-Ronal-Dworkin-Legis.pe_.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cademia.edu/6574051/28490884-El-Concepto-de-Derecho-Herbert-Hart"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hyperlink" Target="https://archivos.juridicas.unam.mx/www/bjv/libros/3/1039/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