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9556" w14:textId="38A651B9" w:rsidR="00B411AC" w:rsidRPr="00B65195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B65195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B65195">
        <w:rPr>
          <w:rFonts w:ascii="Arial" w:hAnsi="Arial" w:cs="Arial"/>
          <w:b/>
          <w:sz w:val="18"/>
          <w:szCs w:val="18"/>
        </w:rPr>
        <w:t>DEL CURSO</w:t>
      </w:r>
    </w:p>
    <w:p w14:paraId="7C24F6CE" w14:textId="77777777" w:rsidR="00FA3A88" w:rsidRPr="00B65195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369"/>
        <w:gridCol w:w="3253"/>
        <w:gridCol w:w="7"/>
        <w:gridCol w:w="3395"/>
        <w:gridCol w:w="7"/>
      </w:tblGrid>
      <w:tr w:rsidR="00437802" w:rsidRPr="00086BF4" w14:paraId="11D06AB5" w14:textId="77777777" w:rsidTr="001C3DC6">
        <w:trPr>
          <w:gridBefore w:val="1"/>
          <w:wBefore w:w="7" w:type="dxa"/>
        </w:trPr>
        <w:tc>
          <w:tcPr>
            <w:tcW w:w="3369" w:type="dxa"/>
          </w:tcPr>
          <w:p w14:paraId="716353EF" w14:textId="5F99EAD7" w:rsidR="006F0CBD" w:rsidRPr="00086BF4" w:rsidRDefault="00A85341" w:rsidP="00EF0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86BF4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6F0CBD" w:rsidRPr="00086BF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A3753" w:rsidRPr="00086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1D32B3" w14:textId="2147B198" w:rsidR="00F6260E" w:rsidRPr="00086BF4" w:rsidRDefault="00086BF4" w:rsidP="0043780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Mecanismos Alternos de Solución d</w:t>
            </w:r>
            <w:r w:rsidRPr="00086BF4">
              <w:rPr>
                <w:rFonts w:ascii="Arial" w:hAnsi="Arial" w:cs="Arial"/>
                <w:sz w:val="16"/>
                <w:szCs w:val="16"/>
              </w:rPr>
              <w:t>e Controversias</w:t>
            </w:r>
          </w:p>
        </w:tc>
        <w:tc>
          <w:tcPr>
            <w:tcW w:w="3260" w:type="dxa"/>
            <w:gridSpan w:val="2"/>
          </w:tcPr>
          <w:p w14:paraId="3BB2A548" w14:textId="77777777" w:rsidR="006F0CBD" w:rsidRPr="00086BF4" w:rsidRDefault="00A85341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BF4">
              <w:rPr>
                <w:rFonts w:ascii="Arial" w:hAnsi="Arial" w:cs="Arial"/>
                <w:b/>
                <w:sz w:val="16"/>
                <w:szCs w:val="16"/>
              </w:rPr>
              <w:t>Tipo:</w:t>
            </w:r>
          </w:p>
          <w:p w14:paraId="482ECC3A" w14:textId="5B682EF4" w:rsidR="00F6260E" w:rsidRPr="00086BF4" w:rsidRDefault="00086BF4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086BF4">
              <w:rPr>
                <w:rFonts w:ascii="Arial" w:hAnsi="Arial" w:cs="Arial"/>
                <w:sz w:val="16"/>
                <w:szCs w:val="16"/>
              </w:rPr>
              <w:t>Curso Taller</w:t>
            </w:r>
          </w:p>
        </w:tc>
        <w:tc>
          <w:tcPr>
            <w:tcW w:w="3402" w:type="dxa"/>
            <w:gridSpan w:val="2"/>
          </w:tcPr>
          <w:p w14:paraId="5573B640" w14:textId="77777777" w:rsidR="006F0CBD" w:rsidRPr="00086BF4" w:rsidRDefault="00A85341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086BF4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 w:rsidR="004856A3" w:rsidRPr="00086BF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65DA6AF" w14:textId="50AFE660" w:rsidR="00F6260E" w:rsidRPr="00086BF4" w:rsidRDefault="001C3DC6" w:rsidP="001C3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Pregrado</w:t>
            </w:r>
          </w:p>
        </w:tc>
      </w:tr>
      <w:tr w:rsidR="00437802" w:rsidRPr="00086BF4" w14:paraId="0ACDCDFF" w14:textId="77777777" w:rsidTr="001C3DC6">
        <w:trPr>
          <w:gridBefore w:val="1"/>
          <w:wBefore w:w="7" w:type="dxa"/>
        </w:trPr>
        <w:tc>
          <w:tcPr>
            <w:tcW w:w="3369" w:type="dxa"/>
          </w:tcPr>
          <w:p w14:paraId="0B361236" w14:textId="77777777" w:rsidR="004856A3" w:rsidRPr="00086BF4" w:rsidRDefault="004C3ECB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BF4">
              <w:rPr>
                <w:rFonts w:ascii="Arial" w:hAnsi="Arial" w:cs="Arial"/>
                <w:b/>
                <w:sz w:val="16"/>
                <w:szCs w:val="16"/>
              </w:rPr>
              <w:t>Área de formación:</w:t>
            </w:r>
            <w:r w:rsidR="004856A3" w:rsidRPr="00086B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9A6126" w14:textId="519B17FA" w:rsidR="00F6260E" w:rsidRPr="00086BF4" w:rsidRDefault="00086BF4" w:rsidP="00437802">
            <w:pPr>
              <w:rPr>
                <w:rFonts w:ascii="Arial" w:hAnsi="Arial" w:cs="Arial"/>
                <w:sz w:val="16"/>
                <w:szCs w:val="16"/>
              </w:rPr>
            </w:pPr>
            <w:r w:rsidRPr="00086BF4">
              <w:rPr>
                <w:rFonts w:ascii="Arial" w:hAnsi="Arial" w:cs="Arial"/>
                <w:sz w:val="16"/>
                <w:szCs w:val="16"/>
              </w:rPr>
              <w:t>Básica Común</w:t>
            </w:r>
          </w:p>
        </w:tc>
        <w:tc>
          <w:tcPr>
            <w:tcW w:w="3260" w:type="dxa"/>
            <w:gridSpan w:val="2"/>
          </w:tcPr>
          <w:p w14:paraId="0D795862" w14:textId="77777777" w:rsidR="00086BF4" w:rsidRDefault="004856A3" w:rsidP="00086BF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86B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6BF4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</w:p>
          <w:p w14:paraId="548D958B" w14:textId="619865CB" w:rsidR="00F6260E" w:rsidRPr="00086BF4" w:rsidRDefault="00086BF4" w:rsidP="00A159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(X)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Escolarizada    (X)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Semiescolarizada</w:t>
            </w:r>
            <w:proofErr w:type="spellEnd"/>
          </w:p>
        </w:tc>
        <w:tc>
          <w:tcPr>
            <w:tcW w:w="3402" w:type="dxa"/>
            <w:gridSpan w:val="2"/>
          </w:tcPr>
          <w:p w14:paraId="481366C9" w14:textId="77777777" w:rsidR="006F0CBD" w:rsidRPr="00086BF4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BF4">
              <w:rPr>
                <w:rFonts w:ascii="Arial" w:hAnsi="Arial" w:cs="Arial"/>
                <w:b/>
                <w:sz w:val="16"/>
                <w:szCs w:val="16"/>
              </w:rPr>
              <w:t>Prerrequisitos</w:t>
            </w:r>
            <w:r w:rsidR="006F0CBD" w:rsidRPr="00086BF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56AECBD0" w14:textId="1B0F1EA8" w:rsidR="00F6260E" w:rsidRPr="00086BF4" w:rsidRDefault="00086BF4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086BF4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437802" w:rsidRPr="00086BF4" w14:paraId="7522C704" w14:textId="77777777" w:rsidTr="001C3DC6">
        <w:trPr>
          <w:gridBefore w:val="1"/>
          <w:wBefore w:w="7" w:type="dxa"/>
        </w:trPr>
        <w:tc>
          <w:tcPr>
            <w:tcW w:w="3369" w:type="dxa"/>
          </w:tcPr>
          <w:p w14:paraId="0DC8F91D" w14:textId="66A73757" w:rsidR="00086BF4" w:rsidRPr="00086BF4" w:rsidRDefault="00086BF4" w:rsidP="00086B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6BF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Horas totales:  </w:t>
            </w:r>
            <w:r w:rsidRPr="00086BF4">
              <w:rPr>
                <w:rFonts w:ascii="Arial" w:hAnsi="Arial" w:cs="Arial"/>
                <w:color w:val="000000" w:themeColor="text1"/>
                <w:sz w:val="16"/>
                <w:szCs w:val="18"/>
              </w:rPr>
              <w:t>68</w:t>
            </w:r>
          </w:p>
          <w:p w14:paraId="7209838E" w14:textId="40A90176" w:rsidR="00086BF4" w:rsidRPr="00086BF4" w:rsidRDefault="00086BF4" w:rsidP="00086BF4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086BF4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Horas teoría:</w:t>
            </w:r>
            <w:r w:rsidRPr="00086BF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26</w:t>
            </w:r>
          </w:p>
          <w:p w14:paraId="1464648A" w14:textId="1319A1BE" w:rsidR="004856A3" w:rsidRPr="00086BF4" w:rsidRDefault="00086BF4" w:rsidP="00086B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BF4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Horas práctica</w:t>
            </w:r>
            <w:r w:rsidRPr="00086BF4">
              <w:rPr>
                <w:rFonts w:ascii="Arial" w:hAnsi="Arial" w:cs="Arial"/>
                <w:color w:val="000000" w:themeColor="text1"/>
                <w:sz w:val="16"/>
                <w:szCs w:val="18"/>
              </w:rPr>
              <w:t>: 42</w:t>
            </w:r>
          </w:p>
        </w:tc>
        <w:tc>
          <w:tcPr>
            <w:tcW w:w="3260" w:type="dxa"/>
            <w:gridSpan w:val="2"/>
          </w:tcPr>
          <w:p w14:paraId="4E74C8BA" w14:textId="77777777" w:rsidR="008F02F7" w:rsidRPr="00086BF4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BF4">
              <w:rPr>
                <w:rFonts w:ascii="Arial" w:hAnsi="Arial" w:cs="Arial"/>
                <w:b/>
                <w:sz w:val="16"/>
                <w:szCs w:val="16"/>
              </w:rPr>
              <w:t xml:space="preserve">Créditos: </w:t>
            </w:r>
          </w:p>
          <w:p w14:paraId="6A71BEBF" w14:textId="0A14EDC2" w:rsidR="00F6260E" w:rsidRPr="00086BF4" w:rsidRDefault="00437802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086B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2"/>
          </w:tcPr>
          <w:p w14:paraId="107CCAE0" w14:textId="446414D4" w:rsidR="008F02F7" w:rsidRPr="00086BF4" w:rsidRDefault="004856A3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6BF4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086BF4">
              <w:rPr>
                <w:rFonts w:ascii="Arial" w:hAnsi="Arial" w:cs="Arial"/>
                <w:b/>
                <w:sz w:val="16"/>
                <w:szCs w:val="16"/>
              </w:rPr>
              <w:t>lave</w:t>
            </w:r>
            <w:r w:rsidRPr="00086BF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8AFA391" w14:textId="4E7FE208" w:rsidR="00F6260E" w:rsidRPr="00086BF4" w:rsidRDefault="00086BF4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086BF4">
              <w:rPr>
                <w:rFonts w:ascii="Arial" w:hAnsi="Arial" w:cs="Arial"/>
                <w:sz w:val="16"/>
                <w:szCs w:val="16"/>
              </w:rPr>
              <w:t>IC872</w:t>
            </w:r>
          </w:p>
        </w:tc>
      </w:tr>
      <w:tr w:rsidR="001C3DC6" w14:paraId="6FEFE378" w14:textId="77777777" w:rsidTr="001C3D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6629" w:type="dxa"/>
            <w:gridSpan w:val="3"/>
          </w:tcPr>
          <w:p w14:paraId="37A78321" w14:textId="77777777" w:rsidR="001C3DC6" w:rsidRDefault="001C3DC6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</w:p>
          <w:p w14:paraId="305E606E" w14:textId="77777777" w:rsidR="001C3DC6" w:rsidRDefault="001C3DC6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CULagos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CUNorte</w:t>
            </w:r>
            <w:proofErr w:type="spellEnd"/>
          </w:p>
          <w:p w14:paraId="2FA634D4" w14:textId="77777777" w:rsidR="001C3DC6" w:rsidRDefault="001C3DC6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Revisó:</w:t>
            </w:r>
          </w:p>
          <w:p w14:paraId="16456CD4" w14:textId="77777777" w:rsidR="001C3DC6" w:rsidRDefault="001C3DC6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402" w:type="dxa"/>
            <w:gridSpan w:val="2"/>
          </w:tcPr>
          <w:p w14:paraId="006CC342" w14:textId="77777777" w:rsidR="001C3DC6" w:rsidRDefault="001C3DC6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elaboración:</w:t>
            </w:r>
          </w:p>
          <w:p w14:paraId="678B5DF7" w14:textId="77777777" w:rsidR="001C3DC6" w:rsidRDefault="001C3DC6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Enero 2017</w:t>
            </w:r>
          </w:p>
          <w:p w14:paraId="68A0C643" w14:textId="77777777" w:rsidR="001C3DC6" w:rsidRDefault="001C3DC6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7AE2F578" w14:textId="77777777" w:rsidR="001C3DC6" w:rsidRDefault="001C3DC6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2018</w:t>
            </w:r>
          </w:p>
        </w:tc>
      </w:tr>
    </w:tbl>
    <w:p w14:paraId="3C91988F" w14:textId="75067F50" w:rsidR="000D7A03" w:rsidRPr="00B65195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2ED322A2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77BBEABB" w14:textId="77777777" w:rsidTr="00B40B80">
        <w:tc>
          <w:tcPr>
            <w:tcW w:w="10031" w:type="dxa"/>
          </w:tcPr>
          <w:p w14:paraId="6B959439" w14:textId="77777777" w:rsidR="000D7A03" w:rsidRPr="00086BF4" w:rsidRDefault="00F6260E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BF4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Interpretar y aplicar el derecho para la solución de </w:t>
            </w:r>
            <w:r w:rsidR="00AD2256" w:rsidRPr="00086BF4">
              <w:rPr>
                <w:rFonts w:ascii="Arial" w:hAnsi="Arial" w:cs="Arial"/>
                <w:color w:val="000000"/>
                <w:sz w:val="18"/>
                <w:szCs w:val="18"/>
              </w:rPr>
              <w:t>conflictos</w:t>
            </w:r>
            <w:r w:rsidRPr="00086BF4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búsqueda de la justicia, con una visión mu</w:t>
            </w:r>
            <w:r w:rsidR="00AD2256" w:rsidRPr="00086BF4">
              <w:rPr>
                <w:rFonts w:ascii="Arial" w:hAnsi="Arial" w:cs="Arial"/>
                <w:color w:val="000000"/>
                <w:sz w:val="18"/>
                <w:szCs w:val="18"/>
              </w:rPr>
              <w:t>ltidisciplinar.</w:t>
            </w:r>
          </w:p>
          <w:p w14:paraId="44CF56A1" w14:textId="77777777" w:rsidR="006B4945" w:rsidRPr="00086BF4" w:rsidRDefault="006B4945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BF4">
              <w:rPr>
                <w:rFonts w:ascii="Arial" w:hAnsi="Arial" w:cs="Arial"/>
                <w:color w:val="000000"/>
                <w:sz w:val="18"/>
                <w:szCs w:val="18"/>
              </w:rPr>
              <w:t>Comunicar, de manera adecuada, los argumentos e interpretaciones que se desprenden de su análisis jurídico.</w:t>
            </w:r>
          </w:p>
          <w:p w14:paraId="6DFC6851" w14:textId="03DE5578" w:rsidR="001B0BE4" w:rsidRPr="00086BF4" w:rsidRDefault="001B0BE4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BF4">
              <w:rPr>
                <w:rFonts w:ascii="Arial" w:hAnsi="Arial" w:cs="Arial"/>
                <w:color w:val="000000"/>
                <w:sz w:val="18"/>
                <w:szCs w:val="18"/>
              </w:rPr>
              <w:t>Atender los diferentes tipos de conflictos, a fin de prevenirlos, y proponer soluciones privilegiando el uso de medios alternativos.</w:t>
            </w:r>
          </w:p>
          <w:p w14:paraId="52A3FA08" w14:textId="3B2C2ABC" w:rsidR="0054125C" w:rsidRPr="00EB31AF" w:rsidRDefault="0054125C" w:rsidP="00AD22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BF4">
              <w:rPr>
                <w:rFonts w:ascii="Arial" w:hAnsi="Arial" w:cs="Arial"/>
                <w:color w:val="000000"/>
                <w:sz w:val="18"/>
                <w:szCs w:val="18"/>
              </w:rPr>
              <w:t>Resolver problemas jurídicos con eficiencia, eficacia y oportunidad.</w:t>
            </w:r>
          </w:p>
        </w:tc>
      </w:tr>
    </w:tbl>
    <w:p w14:paraId="7F29025D" w14:textId="77777777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74E4633C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1DCFD4F4" w14:textId="77777777" w:rsidTr="00B40B80">
        <w:tc>
          <w:tcPr>
            <w:tcW w:w="10031" w:type="dxa"/>
          </w:tcPr>
          <w:p w14:paraId="6CE8108D" w14:textId="21CA6B5E" w:rsidR="000D7A03" w:rsidRPr="00086BF4" w:rsidRDefault="00AD2256" w:rsidP="008E1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BF4">
              <w:rPr>
                <w:rFonts w:ascii="Arial" w:hAnsi="Arial" w:cs="Arial"/>
                <w:color w:val="000000"/>
                <w:sz w:val="18"/>
                <w:szCs w:val="18"/>
              </w:rPr>
              <w:t xml:space="preserve">La materia de </w:t>
            </w:r>
            <w:r w:rsidR="008E1AF2" w:rsidRPr="00086BF4">
              <w:rPr>
                <w:rFonts w:ascii="Arial" w:hAnsi="Arial" w:cs="Arial"/>
                <w:color w:val="000000"/>
                <w:sz w:val="18"/>
                <w:szCs w:val="18"/>
              </w:rPr>
              <w:t>Mecanismos Alternos de Solución de Controversias</w:t>
            </w:r>
            <w:r w:rsidRPr="00086BF4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forma parte de</w:t>
            </w:r>
            <w:r w:rsidR="004F7C97" w:rsidRPr="00086BF4">
              <w:rPr>
                <w:rFonts w:ascii="Arial" w:hAnsi="Arial" w:cs="Arial"/>
                <w:color w:val="000000"/>
                <w:sz w:val="18"/>
                <w:szCs w:val="18"/>
              </w:rPr>
              <w:t xml:space="preserve">l eje de derecho </w:t>
            </w:r>
            <w:r w:rsidR="0054125C" w:rsidRPr="00086BF4">
              <w:rPr>
                <w:rFonts w:ascii="Arial" w:hAnsi="Arial" w:cs="Arial"/>
                <w:color w:val="000000"/>
                <w:sz w:val="18"/>
                <w:szCs w:val="18"/>
              </w:rPr>
              <w:t>Público</w:t>
            </w:r>
            <w:r w:rsidR="004F7C97" w:rsidRPr="00086B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86B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F7C97" w:rsidRPr="00086BF4">
              <w:rPr>
                <w:rFonts w:ascii="Arial" w:hAnsi="Arial" w:cs="Arial"/>
                <w:color w:val="000000"/>
                <w:sz w:val="18"/>
                <w:szCs w:val="18"/>
              </w:rPr>
              <w:t xml:space="preserve">esta unidad de aprendizaje, dentro de la estructura, se encuentra en el Área de Formación </w:t>
            </w:r>
            <w:r w:rsidR="008E1AF2" w:rsidRPr="00086BF4">
              <w:rPr>
                <w:rFonts w:ascii="Arial" w:hAnsi="Arial" w:cs="Arial"/>
                <w:color w:val="000000"/>
                <w:sz w:val="18"/>
                <w:szCs w:val="18"/>
              </w:rPr>
              <w:t>Básica Común</w:t>
            </w:r>
            <w:r w:rsidR="00DF6DB3" w:rsidRPr="00086BF4">
              <w:rPr>
                <w:rFonts w:ascii="Arial" w:hAnsi="Arial" w:cs="Arial"/>
                <w:color w:val="000000"/>
                <w:sz w:val="18"/>
                <w:szCs w:val="18"/>
              </w:rPr>
              <w:t>, la cual</w:t>
            </w:r>
            <w:r w:rsidR="008E1AF2" w:rsidRPr="00086BF4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 w:rsidR="00DF6DB3" w:rsidRPr="00086BF4">
              <w:rPr>
                <w:rFonts w:ascii="Arial" w:hAnsi="Arial" w:cs="Arial"/>
                <w:color w:val="000000"/>
                <w:sz w:val="18"/>
                <w:szCs w:val="18"/>
              </w:rPr>
              <w:t xml:space="preserve"> tiene </w:t>
            </w:r>
            <w:r w:rsidR="008E1AF2" w:rsidRPr="00086BF4"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  <w:r w:rsidR="00DF6DB3" w:rsidRPr="00086BF4">
              <w:rPr>
                <w:rFonts w:ascii="Arial" w:hAnsi="Arial" w:cs="Arial"/>
                <w:color w:val="000000"/>
                <w:sz w:val="18"/>
                <w:szCs w:val="18"/>
              </w:rPr>
              <w:t>errequisito.</w:t>
            </w:r>
          </w:p>
        </w:tc>
      </w:tr>
    </w:tbl>
    <w:p w14:paraId="09650412" w14:textId="77777777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EB31A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B31AF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3567E8B9" w14:textId="77777777" w:rsidTr="00B40B80">
        <w:tc>
          <w:tcPr>
            <w:tcW w:w="10031" w:type="dxa"/>
          </w:tcPr>
          <w:p w14:paraId="0D099747" w14:textId="77777777" w:rsidR="00086BF4" w:rsidRDefault="00086BF4" w:rsidP="00086B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7D">
              <w:rPr>
                <w:rFonts w:ascii="Arial" w:hAnsi="Arial" w:cs="Arial"/>
                <w:color w:val="000000"/>
                <w:sz w:val="18"/>
                <w:szCs w:val="18"/>
              </w:rPr>
              <w:t>Perfil de egreso:</w:t>
            </w:r>
          </w:p>
          <w:p w14:paraId="43FD3E7B" w14:textId="77777777" w:rsidR="00086BF4" w:rsidRDefault="00086BF4" w:rsidP="00086B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086BF4" w14:paraId="3DDB3000" w14:textId="77777777" w:rsidTr="00A64598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552DDA8" w14:textId="77777777" w:rsidR="00086BF4" w:rsidRDefault="00086BF4" w:rsidP="00086B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370E623B" w14:textId="77777777" w:rsidR="00086BF4" w:rsidRDefault="00086BF4" w:rsidP="00086B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086BF4" w14:paraId="2AD4EADE" w14:textId="77777777" w:rsidTr="00A64598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14:paraId="1CCD3D2E" w14:textId="77777777" w:rsidR="00086BF4" w:rsidRDefault="00086BF4" w:rsidP="00086B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08B0C4A3" w14:textId="77777777" w:rsidR="00086BF4" w:rsidRDefault="00086BF4" w:rsidP="00086B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00745A2A" w14:textId="77777777" w:rsidR="00086BF4" w:rsidRDefault="00086BF4" w:rsidP="00086B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14:paraId="0AB3B289" w14:textId="77777777" w:rsidR="00086BF4" w:rsidRDefault="00086BF4" w:rsidP="00086B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1C3DC6" w14:paraId="24E3FC96" w14:textId="77777777" w:rsidTr="00A64598">
              <w:tc>
                <w:tcPr>
                  <w:tcW w:w="6374" w:type="dxa"/>
                  <w:vAlign w:val="center"/>
                </w:tcPr>
                <w:p w14:paraId="4543155C" w14:textId="77777777" w:rsidR="001C3DC6" w:rsidRPr="001170B2" w:rsidRDefault="001C3DC6" w:rsidP="001C3DC6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97504A" w14:textId="25D75498" w:rsidR="001C3DC6" w:rsidRPr="0047249A" w:rsidRDefault="001C3DC6" w:rsidP="001C3DC6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CEFEB37" w14:textId="17849BDA" w:rsidR="001C3DC6" w:rsidRPr="0047249A" w:rsidRDefault="001C3DC6" w:rsidP="001C3DC6">
                  <w:pPr>
                    <w:jc w:val="center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1B1F8FFF" w14:textId="77EE139A" w:rsidR="001C3DC6" w:rsidRPr="0047249A" w:rsidRDefault="001C3DC6" w:rsidP="001C3DC6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C3DC6" w14:paraId="492CB98F" w14:textId="77777777" w:rsidTr="00A64598">
              <w:tc>
                <w:tcPr>
                  <w:tcW w:w="6374" w:type="dxa"/>
                  <w:vAlign w:val="center"/>
                </w:tcPr>
                <w:p w14:paraId="595DBCE4" w14:textId="77777777" w:rsidR="001C3DC6" w:rsidRPr="001170B2" w:rsidRDefault="001C3DC6" w:rsidP="001C3DC6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7C244BB8" w14:textId="50D50D14" w:rsidR="001C3DC6" w:rsidRPr="0047249A" w:rsidRDefault="001C3DC6" w:rsidP="001C3DC6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779CA55" w14:textId="555BB444" w:rsidR="001C3DC6" w:rsidRPr="0047249A" w:rsidRDefault="001C3DC6" w:rsidP="001C3DC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3653D55A" w14:textId="77777777" w:rsidR="001C3DC6" w:rsidRPr="0047249A" w:rsidRDefault="001C3DC6" w:rsidP="001C3DC6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C3DC6" w14:paraId="1D718950" w14:textId="77777777" w:rsidTr="00A64598">
              <w:tc>
                <w:tcPr>
                  <w:tcW w:w="6374" w:type="dxa"/>
                  <w:vAlign w:val="center"/>
                </w:tcPr>
                <w:p w14:paraId="53D770F3" w14:textId="77777777" w:rsidR="001C3DC6" w:rsidRPr="001170B2" w:rsidRDefault="001C3DC6" w:rsidP="001C3DC6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B14F77E" w14:textId="1863AB82" w:rsidR="001C3DC6" w:rsidRPr="0047249A" w:rsidRDefault="001C3DC6" w:rsidP="001C3DC6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EC0" w14:textId="289362DE" w:rsidR="001C3DC6" w:rsidRPr="0047249A" w:rsidRDefault="001C3DC6" w:rsidP="001C3DC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X</w:t>
                  </w:r>
                </w:p>
              </w:tc>
              <w:tc>
                <w:tcPr>
                  <w:tcW w:w="1094" w:type="dxa"/>
                  <w:vAlign w:val="center"/>
                </w:tcPr>
                <w:p w14:paraId="1C44FB83" w14:textId="6EA0A0F6" w:rsidR="001C3DC6" w:rsidRPr="0047249A" w:rsidRDefault="001C3DC6" w:rsidP="001C3DC6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C3DC6" w14:paraId="5CF40031" w14:textId="77777777" w:rsidTr="00A64598">
              <w:tc>
                <w:tcPr>
                  <w:tcW w:w="6374" w:type="dxa"/>
                  <w:vAlign w:val="center"/>
                </w:tcPr>
                <w:p w14:paraId="27AD88CC" w14:textId="77777777" w:rsidR="001C3DC6" w:rsidRPr="001170B2" w:rsidRDefault="001C3DC6" w:rsidP="001C3DC6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765BF91" w14:textId="42B75BA4" w:rsidR="001C3DC6" w:rsidRPr="0047249A" w:rsidRDefault="001C3DC6" w:rsidP="001C3DC6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5730621" w14:textId="3944A5D5" w:rsidR="001C3DC6" w:rsidRPr="0047249A" w:rsidRDefault="001C3DC6" w:rsidP="001C3DC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X</w:t>
                  </w:r>
                </w:p>
              </w:tc>
              <w:tc>
                <w:tcPr>
                  <w:tcW w:w="1094" w:type="dxa"/>
                  <w:vAlign w:val="center"/>
                </w:tcPr>
                <w:p w14:paraId="48BEDB68" w14:textId="234BECB6" w:rsidR="001C3DC6" w:rsidRPr="0047249A" w:rsidRDefault="001C3DC6" w:rsidP="001C3DC6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C3DC6" w14:paraId="79B0EF3C" w14:textId="77777777" w:rsidTr="00A64598">
              <w:tc>
                <w:tcPr>
                  <w:tcW w:w="6374" w:type="dxa"/>
                  <w:vAlign w:val="center"/>
                </w:tcPr>
                <w:p w14:paraId="17B848B8" w14:textId="77777777" w:rsidR="001C3DC6" w:rsidRPr="001170B2" w:rsidRDefault="001C3DC6" w:rsidP="001C3DC6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3CA8A6C" w14:textId="0F436C03" w:rsidR="001C3DC6" w:rsidRPr="0047249A" w:rsidRDefault="001C3DC6" w:rsidP="001C3DC6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C2D00F6" w14:textId="77A591CD" w:rsidR="001C3DC6" w:rsidRPr="0047249A" w:rsidRDefault="001C3DC6" w:rsidP="001C3DC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458AD241" w14:textId="32C4D8F6" w:rsidR="001C3DC6" w:rsidRPr="0047249A" w:rsidRDefault="001C3DC6" w:rsidP="001C3DC6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86BF4" w14:paraId="2C9E9496" w14:textId="77777777" w:rsidTr="00A64598">
              <w:tc>
                <w:tcPr>
                  <w:tcW w:w="6374" w:type="dxa"/>
                  <w:vAlign w:val="center"/>
                </w:tcPr>
                <w:p w14:paraId="13D6D905" w14:textId="77777777" w:rsidR="00086BF4" w:rsidRPr="001170B2" w:rsidRDefault="00086BF4" w:rsidP="00086BF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345050FC" w14:textId="77777777" w:rsidR="00086BF4" w:rsidRPr="0047249A" w:rsidRDefault="00086BF4" w:rsidP="00086BF4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83FA7EB" w14:textId="3293959D" w:rsidR="00086BF4" w:rsidRPr="0047249A" w:rsidRDefault="00086BF4" w:rsidP="00086BF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0D19AA15" w14:textId="77777777" w:rsidR="00086BF4" w:rsidRPr="0047249A" w:rsidRDefault="00086BF4" w:rsidP="00086BF4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86BF4" w14:paraId="52B2A424" w14:textId="77777777" w:rsidTr="00A64598">
              <w:tc>
                <w:tcPr>
                  <w:tcW w:w="6374" w:type="dxa"/>
                  <w:vAlign w:val="center"/>
                </w:tcPr>
                <w:p w14:paraId="5AB717BB" w14:textId="77777777" w:rsidR="00086BF4" w:rsidRPr="001170B2" w:rsidRDefault="00086BF4" w:rsidP="00086BF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3D164796" w14:textId="77777777" w:rsidR="00086BF4" w:rsidRPr="0047249A" w:rsidRDefault="00086BF4" w:rsidP="00086BF4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5197D" w14:textId="62DF6746" w:rsidR="00086BF4" w:rsidRPr="0047249A" w:rsidRDefault="00086BF4" w:rsidP="00086BF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166F9BA4" w14:textId="77777777" w:rsidR="00086BF4" w:rsidRPr="0047249A" w:rsidRDefault="00086BF4" w:rsidP="00086BF4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86BF4" w14:paraId="49804A60" w14:textId="77777777" w:rsidTr="00A64598">
              <w:tc>
                <w:tcPr>
                  <w:tcW w:w="6374" w:type="dxa"/>
                  <w:vAlign w:val="center"/>
                </w:tcPr>
                <w:p w14:paraId="2A4FD072" w14:textId="77777777" w:rsidR="00086BF4" w:rsidRPr="001170B2" w:rsidRDefault="00086BF4" w:rsidP="00086BF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FC774F" w14:textId="77777777" w:rsidR="00086BF4" w:rsidRPr="0047249A" w:rsidRDefault="00086BF4" w:rsidP="00086BF4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A79FFFF" w14:textId="77777777" w:rsidR="00086BF4" w:rsidRPr="0047249A" w:rsidRDefault="00086BF4" w:rsidP="00086BF4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755E9B7F" w14:textId="77777777" w:rsidR="00086BF4" w:rsidRPr="0047249A" w:rsidRDefault="00086BF4" w:rsidP="00086BF4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86BF4" w14:paraId="3D992C79" w14:textId="77777777" w:rsidTr="00A64598">
              <w:tc>
                <w:tcPr>
                  <w:tcW w:w="6374" w:type="dxa"/>
                  <w:vAlign w:val="center"/>
                </w:tcPr>
                <w:p w14:paraId="59B22CCD" w14:textId="77777777" w:rsidR="00086BF4" w:rsidRPr="001170B2" w:rsidRDefault="00086BF4" w:rsidP="00086BF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36D8BD7" w14:textId="77777777" w:rsidR="00086BF4" w:rsidRPr="0047249A" w:rsidRDefault="00086BF4" w:rsidP="00086BF4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C9A8901" w14:textId="2F89CDF5" w:rsidR="00086BF4" w:rsidRPr="0047249A" w:rsidRDefault="00086BF4" w:rsidP="00086BF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0F86B34C" w14:textId="77777777" w:rsidR="00086BF4" w:rsidRPr="0047249A" w:rsidRDefault="00086BF4" w:rsidP="00086BF4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77D1A55" w14:textId="1E891C26" w:rsidR="000D7A03" w:rsidRPr="00EB31AF" w:rsidRDefault="000D7A03" w:rsidP="004F7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54F2417" w14:textId="0B00616C" w:rsidR="000D7A03" w:rsidRPr="00EB31AF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EB31AF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EB31AF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EB31AF" w:rsidRDefault="00FA3A88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Objetivo general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EB31AF" w14:paraId="75381715" w14:textId="77777777" w:rsidTr="00B40B80">
        <w:tc>
          <w:tcPr>
            <w:tcW w:w="10031" w:type="dxa"/>
          </w:tcPr>
          <w:p w14:paraId="7FFF038C" w14:textId="3DE33867" w:rsidR="004856A3" w:rsidRPr="00086BF4" w:rsidRDefault="008E1AF2" w:rsidP="008E1AF2">
            <w:pPr>
              <w:rPr>
                <w:rFonts w:ascii="Arial" w:hAnsi="Arial" w:cs="Arial"/>
                <w:sz w:val="18"/>
                <w:szCs w:val="18"/>
              </w:rPr>
            </w:pPr>
            <w:r w:rsidRPr="00086BF4">
              <w:rPr>
                <w:rFonts w:ascii="Arial" w:hAnsi="Arial" w:cs="Arial"/>
                <w:sz w:val="18"/>
                <w:szCs w:val="18"/>
              </w:rPr>
              <w:t xml:space="preserve">Conocer y desarrollar las habilidades necesarias que le permitan identificar los medios alternos de solucionar los </w:t>
            </w:r>
            <w:r w:rsidRPr="00086BF4">
              <w:rPr>
                <w:rFonts w:ascii="Arial" w:hAnsi="Arial" w:cs="Arial"/>
                <w:sz w:val="18"/>
                <w:szCs w:val="18"/>
              </w:rPr>
              <w:lastRenderedPageBreak/>
              <w:t>distinguiéndolo de los medios jurisdiccionales tradicionalmente empleados y haga un uso efectivo de ellos en casos concretos.</w:t>
            </w:r>
          </w:p>
        </w:tc>
      </w:tr>
    </w:tbl>
    <w:p w14:paraId="32F9DA30" w14:textId="77777777" w:rsidR="004856A3" w:rsidRPr="00EB31AF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Pr="00EB31AF" w:rsidRDefault="004C3ECB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Objetivos parciales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EB31AF" w14:paraId="44E9A688" w14:textId="77777777" w:rsidTr="00B40B80">
        <w:tc>
          <w:tcPr>
            <w:tcW w:w="10031" w:type="dxa"/>
          </w:tcPr>
          <w:p w14:paraId="0FF57907" w14:textId="77777777" w:rsidR="001C3DC6" w:rsidRDefault="001C3DC6" w:rsidP="004B4A87">
            <w:pPr>
              <w:pStyle w:val="Textocomentari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B45D3" w:rsidRPr="00086BF4">
              <w:rPr>
                <w:rFonts w:ascii="Arial" w:hAnsi="Arial" w:cs="Arial"/>
                <w:sz w:val="18"/>
                <w:szCs w:val="18"/>
              </w:rPr>
              <w:t>Identificará lo</w:t>
            </w:r>
            <w:r w:rsidR="00FC70EE" w:rsidRPr="00086BF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0B45D3" w:rsidRPr="00086BF4">
              <w:rPr>
                <w:rFonts w:ascii="Arial" w:hAnsi="Arial" w:cs="Arial"/>
                <w:sz w:val="18"/>
                <w:szCs w:val="18"/>
              </w:rPr>
              <w:t>diferentes mecanismos alternos para solucionar diferentes casos concretos, logrando una economía procesal</w:t>
            </w:r>
            <w:r w:rsidR="00FC70EE" w:rsidRPr="00086BF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48EE44" w14:textId="3D596C49" w:rsidR="004856A3" w:rsidRPr="00086BF4" w:rsidRDefault="001C3DC6" w:rsidP="001C3DC6">
            <w:pPr>
              <w:pStyle w:val="Textocomentari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*Adquirirá </w:t>
            </w:r>
            <w:r w:rsidR="004B4A87" w:rsidRPr="00086BF4">
              <w:rPr>
                <w:rFonts w:ascii="Arial" w:hAnsi="Arial" w:cs="Arial"/>
                <w:sz w:val="18"/>
                <w:szCs w:val="18"/>
              </w:rPr>
              <w:t>habilidades que faciliten la convivencia pacífica en la comunidad, generando una nueva cultura jurídica sobre la disolución de conflictos.</w:t>
            </w:r>
          </w:p>
        </w:tc>
      </w:tr>
    </w:tbl>
    <w:p w14:paraId="52A684C0" w14:textId="77777777" w:rsidR="004C3ECB" w:rsidRPr="00EB31AF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78BFF273" w:rsidR="0000048B" w:rsidRPr="00EB31AF" w:rsidRDefault="00957C90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EB31AF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13CC4" w:rsidRPr="00EB31AF" w14:paraId="5BB155AA" w14:textId="71879D93" w:rsidTr="00B40B80">
        <w:tc>
          <w:tcPr>
            <w:tcW w:w="10031" w:type="dxa"/>
            <w:tcBorders>
              <w:right w:val="single" w:sz="4" w:space="0" w:color="auto"/>
            </w:tcBorders>
          </w:tcPr>
          <w:p w14:paraId="698E48FD" w14:textId="7BBA1957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Unidad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 Marco Referencial</w:t>
            </w:r>
          </w:p>
          <w:p w14:paraId="12931137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1.1 El conflicto</w:t>
            </w:r>
          </w:p>
          <w:p w14:paraId="2F0835C3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1.2 Fases del conflicto </w:t>
            </w:r>
          </w:p>
          <w:p w14:paraId="690337F4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1.3 Búsqueda de solución </w:t>
            </w:r>
          </w:p>
          <w:p w14:paraId="3B867BBC" w14:textId="5F799B7B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1.4 </w:t>
            </w:r>
            <w:r w:rsidR="001C3DC6">
              <w:rPr>
                <w:rFonts w:ascii="Arial" w:hAnsi="Arial" w:cs="Arial"/>
                <w:bCs/>
                <w:sz w:val="18"/>
                <w:szCs w:val="18"/>
              </w:rPr>
              <w:t>Conciliación</w:t>
            </w:r>
            <w:r w:rsidR="00D04E16" w:rsidRPr="001C3DC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8BBE2F9" w14:textId="53D09803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1.4.1 El procedimiento de conciliación </w:t>
            </w:r>
          </w:p>
          <w:p w14:paraId="3AFF5B3A" w14:textId="6B1F9C53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1.4.2</w:t>
            </w:r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 xml:space="preserve"> Beneficios en la conciliación </w:t>
            </w:r>
          </w:p>
          <w:p w14:paraId="715B81B4" w14:textId="75FAD809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1.4.3 </w:t>
            </w:r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 xml:space="preserve">Conciliación pre-procesal </w:t>
            </w:r>
          </w:p>
          <w:p w14:paraId="5E8BDB16" w14:textId="685AAF2B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1.4.4 C</w:t>
            </w:r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 xml:space="preserve">onciliación </w:t>
            </w:r>
            <w:proofErr w:type="spellStart"/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>intra</w:t>
            </w:r>
            <w:proofErr w:type="spellEnd"/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 xml:space="preserve">-procesal </w:t>
            </w:r>
          </w:p>
          <w:p w14:paraId="3660CF35" w14:textId="67DB5B3B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1.4.5 </w:t>
            </w:r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>Conciliación extra-procesal</w:t>
            </w:r>
          </w:p>
          <w:p w14:paraId="3AF9F387" w14:textId="2641BA34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1.4.6 </w:t>
            </w:r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 xml:space="preserve">Conciliación post-procesal </w:t>
            </w:r>
          </w:p>
          <w:p w14:paraId="220062A1" w14:textId="72DC8BA6" w:rsidR="00061C44" w:rsidRPr="001C3DC6" w:rsidRDefault="00D04E1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1.5 Mediación:</w:t>
            </w:r>
          </w:p>
          <w:p w14:paraId="03D47323" w14:textId="09A30882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1.5.1 </w:t>
            </w:r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 xml:space="preserve">procedimiento de mediación </w:t>
            </w:r>
          </w:p>
          <w:p w14:paraId="0851C57C" w14:textId="4A4A59AC" w:rsidR="00061C44" w:rsidRPr="001C3DC6" w:rsidRDefault="00D04E1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1.6 Arbitraje:</w:t>
            </w:r>
          </w:p>
          <w:p w14:paraId="4411C943" w14:textId="575D750C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1.6.1 </w:t>
            </w:r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 xml:space="preserve">Presupuestos y estructura </w:t>
            </w:r>
          </w:p>
          <w:p w14:paraId="7962F769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BA82CF" w14:textId="5FA43C29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Unidad 2:</w:t>
            </w:r>
            <w:r w:rsidR="00FD57F0">
              <w:rPr>
                <w:rFonts w:ascii="Arial" w:hAnsi="Arial" w:cs="Arial"/>
                <w:bCs/>
                <w:sz w:val="18"/>
                <w:szCs w:val="18"/>
              </w:rPr>
              <w:t xml:space="preserve"> Mediación y</w:t>
            </w: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 Conciliación</w:t>
            </w:r>
          </w:p>
          <w:p w14:paraId="62392F37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2.1 Similitudes y diferencias entre mediación y conciliación </w:t>
            </w:r>
          </w:p>
          <w:p w14:paraId="46D54006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2.2 Tipos de Conciliación </w:t>
            </w:r>
          </w:p>
          <w:p w14:paraId="7E06075C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2.3 Función del conciliador </w:t>
            </w:r>
          </w:p>
          <w:p w14:paraId="485544D0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2.4 Función del abogado en la conciliación </w:t>
            </w:r>
          </w:p>
          <w:p w14:paraId="29ACCFC2" w14:textId="215EE943" w:rsidR="004B4A87" w:rsidRPr="001C3DC6" w:rsidRDefault="004B4A87" w:rsidP="001C3DC6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3DC6">
              <w:rPr>
                <w:rFonts w:ascii="Arial" w:hAnsi="Arial" w:cs="Arial"/>
                <w:sz w:val="18"/>
                <w:szCs w:val="18"/>
              </w:rPr>
              <w:t>2.5 Antecedentes sobre la Justicia Alternativa</w:t>
            </w:r>
            <w:r w:rsidR="00D04E16" w:rsidRPr="001C3DC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5AB028B" w14:textId="7F53767F" w:rsidR="004B4A87" w:rsidRPr="001C3DC6" w:rsidRDefault="001C3DC6" w:rsidP="001C3DC6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2.5.1 </w:t>
            </w:r>
            <w:r w:rsidR="004B4A87" w:rsidRPr="001C3DC6">
              <w:rPr>
                <w:rFonts w:ascii="Arial" w:hAnsi="Arial" w:cs="Arial"/>
                <w:sz w:val="18"/>
                <w:szCs w:val="18"/>
              </w:rPr>
              <w:t>Antecedentes históricos universales</w:t>
            </w:r>
          </w:p>
          <w:p w14:paraId="6C8D69C2" w14:textId="3C14F6C0" w:rsidR="004B4A87" w:rsidRPr="001C3DC6" w:rsidRDefault="001C3DC6" w:rsidP="001C3DC6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2.5.2 </w:t>
            </w:r>
            <w:r w:rsidR="004B4A87" w:rsidRPr="001C3DC6">
              <w:rPr>
                <w:rFonts w:ascii="Arial" w:hAnsi="Arial" w:cs="Arial"/>
                <w:sz w:val="18"/>
                <w:szCs w:val="18"/>
              </w:rPr>
              <w:t>Antecedentes históricos en México</w:t>
            </w:r>
          </w:p>
          <w:p w14:paraId="081F1A76" w14:textId="3AD6B1FF" w:rsidR="004B4A87" w:rsidRPr="001C3DC6" w:rsidRDefault="001C3DC6" w:rsidP="001C3DC6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2.5.3 </w:t>
            </w:r>
            <w:r w:rsidR="004B4A87" w:rsidRPr="001C3DC6">
              <w:rPr>
                <w:rFonts w:ascii="Arial" w:hAnsi="Arial" w:cs="Arial"/>
                <w:sz w:val="18"/>
                <w:szCs w:val="18"/>
              </w:rPr>
              <w:t>Análisis de la Reforma Constitucional que incorpora la Justicia Alternativa</w:t>
            </w:r>
          </w:p>
          <w:p w14:paraId="24DF6830" w14:textId="53DC7C65" w:rsidR="004B4A87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2.5.4 </w:t>
            </w:r>
            <w:r w:rsidR="004B4A87" w:rsidRPr="001C3DC6">
              <w:rPr>
                <w:rFonts w:ascii="Arial" w:hAnsi="Arial" w:cs="Arial"/>
                <w:sz w:val="18"/>
                <w:szCs w:val="18"/>
              </w:rPr>
              <w:t>La Justicia Alternativa en el Estado de Jalisco</w:t>
            </w:r>
          </w:p>
          <w:p w14:paraId="0A3DCB17" w14:textId="424B5953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B4A87" w:rsidRPr="001C3DC6">
              <w:rPr>
                <w:rFonts w:ascii="Arial" w:hAnsi="Arial" w:cs="Arial"/>
                <w:bCs/>
                <w:sz w:val="18"/>
                <w:szCs w:val="18"/>
              </w:rPr>
              <w:t>.6</w:t>
            </w: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 Princi</w:t>
            </w:r>
            <w:r w:rsidR="00D04E16" w:rsidRPr="001C3DC6">
              <w:rPr>
                <w:rFonts w:ascii="Arial" w:hAnsi="Arial" w:cs="Arial"/>
                <w:bCs/>
                <w:sz w:val="18"/>
                <w:szCs w:val="18"/>
              </w:rPr>
              <w:t xml:space="preserve">pios de la Justicia </w:t>
            </w:r>
            <w:r w:rsidR="001C3DC6">
              <w:rPr>
                <w:rFonts w:ascii="Arial" w:hAnsi="Arial" w:cs="Arial"/>
                <w:bCs/>
                <w:sz w:val="18"/>
                <w:szCs w:val="18"/>
              </w:rPr>
              <w:t>Alternativa</w:t>
            </w:r>
          </w:p>
          <w:p w14:paraId="6A5A60E4" w14:textId="41B2F17E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  <w:p w14:paraId="28440B55" w14:textId="160E526F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Unidad 3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 Marco Gene</w:t>
            </w:r>
            <w:r>
              <w:rPr>
                <w:rFonts w:ascii="Arial" w:hAnsi="Arial" w:cs="Arial"/>
                <w:bCs/>
                <w:sz w:val="18"/>
                <w:szCs w:val="18"/>
              </w:rPr>
              <w:t>ral de los Métodos Alternativos de Solución d</w:t>
            </w:r>
            <w:r w:rsidRPr="001C3DC6">
              <w:rPr>
                <w:rFonts w:ascii="Arial" w:hAnsi="Arial" w:cs="Arial"/>
                <w:bCs/>
                <w:sz w:val="18"/>
                <w:szCs w:val="18"/>
              </w:rPr>
              <w:t>e Conflictos</w:t>
            </w:r>
          </w:p>
          <w:p w14:paraId="5573830F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3.1 La justicia vista desde los MASC</w:t>
            </w:r>
          </w:p>
          <w:p w14:paraId="4B77C5B8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3.2 La judicialización de los medios alternativos de solución de conflictos y el problema de la impetración de justicia </w:t>
            </w:r>
          </w:p>
          <w:p w14:paraId="4CE8F391" w14:textId="311B6D94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3.3 El derecho internacional y los MASC</w:t>
            </w:r>
            <w:r w:rsidR="00D04E16" w:rsidRPr="001C3DC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FD4E5B5" w14:textId="61FE2B30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3.3.1</w:t>
            </w:r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 xml:space="preserve"> La ciencia del derecho y el </w:t>
            </w:r>
            <w:proofErr w:type="spellStart"/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>communi</w:t>
            </w:r>
            <w:proofErr w:type="spellEnd"/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>consensus</w:t>
            </w:r>
            <w:proofErr w:type="spellEnd"/>
            <w:r w:rsidR="00061C44" w:rsidRPr="001C3DC6">
              <w:rPr>
                <w:rFonts w:ascii="Arial" w:hAnsi="Arial" w:cs="Arial"/>
                <w:bCs/>
                <w:sz w:val="18"/>
                <w:szCs w:val="18"/>
              </w:rPr>
              <w:t xml:space="preserve"> del derecho comparado </w:t>
            </w:r>
          </w:p>
          <w:p w14:paraId="457D1709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3.4 Definición, características y diferencias de los métodos alternativos de solución de conflictos </w:t>
            </w:r>
          </w:p>
          <w:p w14:paraId="6AE99CA4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3.5 Los principales MASC y sus características </w:t>
            </w:r>
          </w:p>
          <w:p w14:paraId="1F2B40C2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3.6 Los principios que sustentan los MASC</w:t>
            </w:r>
          </w:p>
          <w:p w14:paraId="59600BA5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3.7 Competencias generales de los prestadores de servicios MASC</w:t>
            </w:r>
          </w:p>
          <w:p w14:paraId="54ABA97C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3.8 Competencias específicas de los mediadores-conciliadores</w:t>
            </w:r>
          </w:p>
          <w:p w14:paraId="5891CD24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3.9 Competencias específicas de los árbitros </w:t>
            </w:r>
          </w:p>
          <w:p w14:paraId="6C77C8C6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3.10 Impacto de los MASC en el sistema judicial </w:t>
            </w:r>
          </w:p>
          <w:p w14:paraId="4A5E46F2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3.11 Cláusulas </w:t>
            </w:r>
            <w:proofErr w:type="spellStart"/>
            <w:r w:rsidRPr="001C3DC6">
              <w:rPr>
                <w:rFonts w:ascii="Arial" w:hAnsi="Arial" w:cs="Arial"/>
                <w:bCs/>
                <w:sz w:val="18"/>
                <w:szCs w:val="18"/>
              </w:rPr>
              <w:t>med-arb</w:t>
            </w:r>
            <w:proofErr w:type="spellEnd"/>
          </w:p>
          <w:p w14:paraId="1DD484DD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3.12 Los MASC </w:t>
            </w:r>
            <w:proofErr w:type="spellStart"/>
            <w:r w:rsidRPr="001C3DC6">
              <w:rPr>
                <w:rFonts w:ascii="Arial" w:hAnsi="Arial" w:cs="Arial"/>
                <w:bCs/>
                <w:sz w:val="18"/>
                <w:szCs w:val="18"/>
              </w:rPr>
              <w:t>on</w:t>
            </w:r>
            <w:proofErr w:type="spellEnd"/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 line </w:t>
            </w:r>
          </w:p>
          <w:p w14:paraId="7CF9C8AE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94B679" w14:textId="6A69028E" w:rsidR="00061C44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Unidad 4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Procedimiento d</w:t>
            </w:r>
            <w:r w:rsidRPr="001C3DC6">
              <w:rPr>
                <w:rFonts w:ascii="Arial" w:hAnsi="Arial" w:cs="Arial"/>
                <w:bCs/>
                <w:sz w:val="18"/>
                <w:szCs w:val="18"/>
              </w:rPr>
              <w:t>e Mediación Abreviado</w:t>
            </w:r>
          </w:p>
          <w:p w14:paraId="0528EBCB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4.1 Preparación de la mediación </w:t>
            </w:r>
          </w:p>
          <w:p w14:paraId="0DEA8831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4.2 Procedimiento de la mediación </w:t>
            </w:r>
          </w:p>
          <w:p w14:paraId="7977712D" w14:textId="77777777" w:rsidR="00061C44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4.3 Organización </w:t>
            </w:r>
          </w:p>
          <w:p w14:paraId="7CE237F9" w14:textId="77777777" w:rsidR="000A6727" w:rsidRPr="001C3DC6" w:rsidRDefault="00061C44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4.4 Presentaciones personales </w:t>
            </w:r>
          </w:p>
          <w:p w14:paraId="0D8A57E0" w14:textId="77777777" w:rsidR="000C51A6" w:rsidRPr="001C3DC6" w:rsidRDefault="000C51A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37E57D" w14:textId="3A9BDADF" w:rsidR="000C51A6" w:rsidRPr="001C3DC6" w:rsidRDefault="001C3DC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>Unidad 5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Procedimiento d</w:t>
            </w:r>
            <w:r w:rsidRPr="001C3DC6">
              <w:rPr>
                <w:rFonts w:ascii="Arial" w:hAnsi="Arial" w:cs="Arial"/>
                <w:bCs/>
                <w:sz w:val="18"/>
                <w:szCs w:val="18"/>
              </w:rPr>
              <w:t>e Arbitraje Abreviado</w:t>
            </w:r>
          </w:p>
          <w:p w14:paraId="334ED439" w14:textId="7099D503" w:rsidR="000C51A6" w:rsidRPr="001C3DC6" w:rsidRDefault="000C51A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5.1 Inicio del arbitraje </w:t>
            </w:r>
          </w:p>
          <w:p w14:paraId="723064F2" w14:textId="4FEE82D8" w:rsidR="000C51A6" w:rsidRPr="001C3DC6" w:rsidRDefault="000C51A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5.2 Contestación de la demanda </w:t>
            </w:r>
          </w:p>
          <w:p w14:paraId="459D9ABD" w14:textId="069877F0" w:rsidR="000C51A6" w:rsidRPr="001C3DC6" w:rsidRDefault="000C51A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5.3 Nombramiento o designación del tribunal arbitral </w:t>
            </w:r>
          </w:p>
          <w:p w14:paraId="4A462432" w14:textId="56A012BB" w:rsidR="000C51A6" w:rsidRPr="001C3DC6" w:rsidRDefault="000C51A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5.4 Procedimiento arbitral </w:t>
            </w:r>
          </w:p>
          <w:p w14:paraId="7FE75C57" w14:textId="5C1EDC9F" w:rsidR="000C51A6" w:rsidRPr="001C3DC6" w:rsidRDefault="000C51A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5.5 Acta de misión </w:t>
            </w:r>
          </w:p>
          <w:p w14:paraId="69CE6F10" w14:textId="4E7A94C6" w:rsidR="000C51A6" w:rsidRPr="001C3DC6" w:rsidRDefault="000C51A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5.6 Instrucción de la causa </w:t>
            </w:r>
          </w:p>
          <w:p w14:paraId="2F87A396" w14:textId="01CEA2F7" w:rsidR="000C51A6" w:rsidRPr="001C3DC6" w:rsidRDefault="000C51A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5.7 Audiencias </w:t>
            </w:r>
          </w:p>
          <w:p w14:paraId="019B851E" w14:textId="1BD17A2A" w:rsidR="000C51A6" w:rsidRPr="001C3DC6" w:rsidRDefault="000C51A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5.8 Cierre de instrucción </w:t>
            </w:r>
          </w:p>
          <w:p w14:paraId="464E7849" w14:textId="12CA86B4" w:rsidR="000C51A6" w:rsidRPr="001C3DC6" w:rsidRDefault="000C51A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5.9 Laudo </w:t>
            </w:r>
          </w:p>
          <w:p w14:paraId="2BE51FCA" w14:textId="77777777" w:rsidR="000C51A6" w:rsidRPr="001C3DC6" w:rsidRDefault="000C51A6" w:rsidP="001C3DC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3DC6">
              <w:rPr>
                <w:rFonts w:ascii="Arial" w:hAnsi="Arial" w:cs="Arial"/>
                <w:bCs/>
                <w:sz w:val="18"/>
                <w:szCs w:val="18"/>
              </w:rPr>
              <w:t xml:space="preserve">5.10 Notificación del laudo   </w:t>
            </w:r>
          </w:p>
          <w:p w14:paraId="1AAE9F17" w14:textId="6F77044C" w:rsidR="004B4A87" w:rsidRPr="001C3DC6" w:rsidRDefault="004B4A87" w:rsidP="001C3DC6">
            <w:pPr>
              <w:pStyle w:val="Textocomentario"/>
              <w:jc w:val="left"/>
            </w:pPr>
          </w:p>
          <w:p w14:paraId="1946EFFA" w14:textId="0C77AE62" w:rsidR="004B4A87" w:rsidRPr="001C3DC6" w:rsidRDefault="001C3DC6" w:rsidP="001C3DC6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3DC6">
              <w:rPr>
                <w:rFonts w:ascii="Arial" w:hAnsi="Arial" w:cs="Arial"/>
                <w:sz w:val="18"/>
                <w:szCs w:val="18"/>
              </w:rPr>
              <w:t>Unidad 6</w:t>
            </w:r>
            <w:r>
              <w:rPr>
                <w:rFonts w:ascii="Arial" w:hAnsi="Arial" w:cs="Arial"/>
                <w:sz w:val="18"/>
                <w:szCs w:val="18"/>
              </w:rPr>
              <w:t>: Mecanismos Alternativos d</w:t>
            </w:r>
            <w:r w:rsidRPr="001C3DC6">
              <w:rPr>
                <w:rFonts w:ascii="Arial" w:hAnsi="Arial" w:cs="Arial"/>
                <w:sz w:val="18"/>
                <w:szCs w:val="18"/>
              </w:rPr>
              <w:t>e Solución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Controversias en materia p</w:t>
            </w:r>
            <w:r w:rsidRPr="001C3DC6">
              <w:rPr>
                <w:rFonts w:ascii="Arial" w:hAnsi="Arial" w:cs="Arial"/>
                <w:sz w:val="18"/>
                <w:szCs w:val="18"/>
              </w:rPr>
              <w:t>enal</w:t>
            </w:r>
          </w:p>
          <w:p w14:paraId="2066F347" w14:textId="3EE2E6E7" w:rsidR="004B4A87" w:rsidRPr="001C3DC6" w:rsidRDefault="004B4A87" w:rsidP="001C3DC6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3DC6">
              <w:rPr>
                <w:rFonts w:ascii="Arial" w:hAnsi="Arial" w:cs="Arial"/>
                <w:sz w:val="18"/>
                <w:szCs w:val="18"/>
              </w:rPr>
              <w:t>6.1 Mediación, Conciliación y Ju</w:t>
            </w:r>
            <w:r w:rsidR="00E30C44">
              <w:rPr>
                <w:rFonts w:ascii="Arial" w:hAnsi="Arial" w:cs="Arial"/>
                <w:sz w:val="18"/>
                <w:szCs w:val="18"/>
              </w:rPr>
              <w:t>sticia</w:t>
            </w:r>
            <w:r w:rsidRPr="001C3DC6">
              <w:rPr>
                <w:rFonts w:ascii="Arial" w:hAnsi="Arial" w:cs="Arial"/>
                <w:sz w:val="18"/>
                <w:szCs w:val="18"/>
              </w:rPr>
              <w:t xml:space="preserve"> Restaurativa conforme a la Ley Nacional de Mecanismos Alternativos de Solución de Controversias en Materia Penal</w:t>
            </w:r>
          </w:p>
          <w:p w14:paraId="288FAE01" w14:textId="5218DAA4" w:rsidR="004B4A87" w:rsidRPr="001C3DC6" w:rsidRDefault="004B4A87" w:rsidP="001C3DC6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3DC6">
              <w:rPr>
                <w:rFonts w:ascii="Arial" w:hAnsi="Arial" w:cs="Arial"/>
                <w:sz w:val="18"/>
                <w:szCs w:val="18"/>
              </w:rPr>
              <w:t>6.2 Soluciones Alternas del Procedimiento, conforme al Código Nacional de Procedimientos Penales</w:t>
            </w:r>
          </w:p>
          <w:p w14:paraId="7AB50523" w14:textId="59998293" w:rsidR="004B4A87" w:rsidRPr="00EB31AF" w:rsidRDefault="004B4A87" w:rsidP="001C3DC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C3DC6">
              <w:rPr>
                <w:rFonts w:ascii="Arial" w:hAnsi="Arial" w:cs="Arial"/>
                <w:sz w:val="18"/>
                <w:szCs w:val="18"/>
              </w:rPr>
              <w:t>6.3 Formas de terminación anticipada del proceso, conforme al Código Nacional de Procedimientos Penales</w:t>
            </w:r>
          </w:p>
        </w:tc>
      </w:tr>
    </w:tbl>
    <w:p w14:paraId="266FA5FB" w14:textId="6E797AAA" w:rsidR="004856A3" w:rsidRPr="00EB31AF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5BD23F81" w:rsidR="004C3ECB" w:rsidRPr="00EB31AF" w:rsidRDefault="004C3ECB" w:rsidP="00086BF4">
      <w:pPr>
        <w:jc w:val="left"/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Estructura conceptual</w:t>
      </w:r>
      <w:r w:rsidR="00E363F2" w:rsidRPr="00EB31AF">
        <w:rPr>
          <w:rFonts w:ascii="Arial" w:hAnsi="Arial" w:cs="Arial"/>
          <w:b/>
          <w:sz w:val="18"/>
          <w:szCs w:val="18"/>
        </w:rPr>
        <w:t xml:space="preserve"> 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del 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EB31AF" w14:paraId="36779622" w14:textId="77777777" w:rsidTr="00B40B80">
        <w:tc>
          <w:tcPr>
            <w:tcW w:w="10031" w:type="dxa"/>
          </w:tcPr>
          <w:p w14:paraId="75A828C8" w14:textId="4470C6A0" w:rsidR="004856A3" w:rsidRPr="00EB31AF" w:rsidRDefault="008D5E69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5920" behindDoc="0" locked="0" layoutInCell="1" allowOverlap="1" wp14:anchorId="74BFAE70" wp14:editId="758DA86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50799</wp:posOffset>
                  </wp:positionV>
                  <wp:extent cx="6295930" cy="2009775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5" t="33943" r="22437" b="34830"/>
                          <a:stretch/>
                        </pic:blipFill>
                        <pic:spPr bwMode="auto">
                          <a:xfrm>
                            <a:off x="0" y="0"/>
                            <a:ext cx="6299900" cy="201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6A3" w:rsidRPr="00EB31A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5FE98E4" w14:textId="43D1031A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C1F72" w14:textId="64B7804E" w:rsidR="00394502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E8FCB9" w14:textId="21F427C3" w:rsidR="000B45D3" w:rsidRPr="00EB31AF" w:rsidRDefault="000B45D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01F25" w14:textId="451A9880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80BE2" w14:textId="77777777" w:rsidR="000B45D3" w:rsidRDefault="000B45D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37D636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1B48D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1F25A8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F48EF2" w14:textId="77777777" w:rsidR="000C51A6" w:rsidRDefault="000C51A6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8AB11" w14:textId="77777777" w:rsidR="008D5E69" w:rsidRDefault="008D5E69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A0B63" w14:textId="77777777" w:rsidR="008D5E69" w:rsidRDefault="008D5E69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F3C38F" w14:textId="77777777" w:rsidR="008D5E69" w:rsidRDefault="008D5E69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1CCFDB" w14:textId="77777777" w:rsidR="000C51A6" w:rsidRDefault="000C51A6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5EB470" w14:textId="77777777" w:rsidR="000C51A6" w:rsidRDefault="000C51A6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D99F0" w14:textId="77777777" w:rsidR="000C51A6" w:rsidRPr="00EB31AF" w:rsidRDefault="000C51A6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EFE916" w14:textId="77777777" w:rsidR="004B4A87" w:rsidRDefault="004B4A87" w:rsidP="00EF00F8">
      <w:pPr>
        <w:rPr>
          <w:rFonts w:ascii="Arial" w:hAnsi="Arial" w:cs="Arial"/>
          <w:b/>
          <w:sz w:val="18"/>
          <w:szCs w:val="18"/>
        </w:rPr>
      </w:pPr>
    </w:p>
    <w:p w14:paraId="122743E2" w14:textId="435B1C6D" w:rsidR="00E363F2" w:rsidRDefault="00706416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5033"/>
      </w:tblGrid>
      <w:tr w:rsidR="0076562C" w:rsidRPr="00B85025" w14:paraId="00F3437A" w14:textId="77777777" w:rsidTr="00BC4883">
        <w:tc>
          <w:tcPr>
            <w:tcW w:w="4998" w:type="dxa"/>
            <w:vAlign w:val="center"/>
          </w:tcPr>
          <w:p w14:paraId="5647330D" w14:textId="77777777" w:rsidR="0076562C" w:rsidRPr="00B85025" w:rsidRDefault="0076562C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</w:tc>
        <w:tc>
          <w:tcPr>
            <w:tcW w:w="5033" w:type="dxa"/>
            <w:vAlign w:val="center"/>
          </w:tcPr>
          <w:p w14:paraId="047E6B9E" w14:textId="77777777" w:rsidR="0076562C" w:rsidRPr="00B85025" w:rsidRDefault="0076562C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76562C" w:rsidRPr="00B85025" w14:paraId="2DDD2ECA" w14:textId="77777777" w:rsidTr="00BC4883">
        <w:tc>
          <w:tcPr>
            <w:tcW w:w="4998" w:type="dxa"/>
          </w:tcPr>
          <w:p w14:paraId="0F703FD8" w14:textId="77777777" w:rsidR="0076562C" w:rsidRDefault="0076562C" w:rsidP="00BC4883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Exámen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es: </w:t>
            </w:r>
          </w:p>
          <w:p w14:paraId="604DEE80" w14:textId="77777777" w:rsidR="0076562C" w:rsidRDefault="0076562C" w:rsidP="00BC4883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Parciales y/o </w:t>
            </w:r>
          </w:p>
          <w:p w14:paraId="28C39036" w14:textId="77777777" w:rsidR="0076562C" w:rsidRPr="00B85025" w:rsidRDefault="0076562C" w:rsidP="00BC48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Departamental</w:t>
            </w:r>
          </w:p>
        </w:tc>
        <w:tc>
          <w:tcPr>
            <w:tcW w:w="5033" w:type="dxa"/>
          </w:tcPr>
          <w:p w14:paraId="71803265" w14:textId="77777777" w:rsidR="0076562C" w:rsidRDefault="0076562C" w:rsidP="00BC4883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E1A312B" w14:textId="08550D62" w:rsidR="0076562C" w:rsidRPr="00B85025" w:rsidRDefault="0076562C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</w:t>
            </w: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0%</w:t>
            </w:r>
          </w:p>
        </w:tc>
      </w:tr>
      <w:tr w:rsidR="0076562C" w:rsidRPr="009D59D7" w14:paraId="2A4FAD73" w14:textId="77777777" w:rsidTr="00BC4883">
        <w:tc>
          <w:tcPr>
            <w:tcW w:w="4998" w:type="dxa"/>
          </w:tcPr>
          <w:p w14:paraId="1958D201" w14:textId="77777777" w:rsidR="0076562C" w:rsidRDefault="0076562C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Participación en clase:</w:t>
            </w:r>
          </w:p>
          <w:p w14:paraId="7F7D22F0" w14:textId="77777777" w:rsidR="0076562C" w:rsidRDefault="0076562C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y/o</w:t>
            </w:r>
          </w:p>
          <w:p w14:paraId="7EB24253" w14:textId="77777777" w:rsidR="0076562C" w:rsidRPr="009D59D7" w:rsidRDefault="0076562C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</w:t>
            </w:r>
          </w:p>
        </w:tc>
        <w:tc>
          <w:tcPr>
            <w:tcW w:w="5033" w:type="dxa"/>
          </w:tcPr>
          <w:p w14:paraId="17A77526" w14:textId="77777777" w:rsidR="0076562C" w:rsidRDefault="0076562C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45E430" w14:textId="77777777" w:rsidR="0076562C" w:rsidRPr="009D59D7" w:rsidRDefault="0076562C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76562C" w:rsidRPr="00B85025" w14:paraId="68E400F3" w14:textId="77777777" w:rsidTr="00BC4883">
        <w:tc>
          <w:tcPr>
            <w:tcW w:w="4998" w:type="dxa"/>
          </w:tcPr>
          <w:p w14:paraId="4DBDEE77" w14:textId="77777777" w:rsidR="0076562C" w:rsidRPr="009D59D7" w:rsidRDefault="0076562C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áulicas:</w:t>
            </w:r>
          </w:p>
          <w:p w14:paraId="387513B7" w14:textId="77777777" w:rsidR="0076562C" w:rsidRDefault="0076562C" w:rsidP="00BC4883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Tareas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(representación de situación)</w:t>
            </w:r>
          </w:p>
          <w:p w14:paraId="0A723555" w14:textId="65B6FF82" w:rsidR="0076562C" w:rsidRPr="00B85025" w:rsidRDefault="0076562C" w:rsidP="00BC48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14:paraId="5A74B925" w14:textId="77777777" w:rsidR="0076562C" w:rsidRDefault="0076562C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EFB448" w14:textId="61FD80E0" w:rsidR="0076562C" w:rsidRPr="009D59D7" w:rsidRDefault="0076562C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D59D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6562C" w:rsidRPr="00B85025" w14:paraId="7A075A58" w14:textId="77777777" w:rsidTr="00BC4883">
        <w:tc>
          <w:tcPr>
            <w:tcW w:w="4998" w:type="dxa"/>
          </w:tcPr>
          <w:p w14:paraId="0E055F78" w14:textId="77777777" w:rsidR="0076562C" w:rsidRDefault="0076562C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curriculares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2C355D" w14:textId="77777777" w:rsidR="0076562C" w:rsidRPr="009D59D7" w:rsidRDefault="0076562C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</w:tcPr>
          <w:p w14:paraId="5E082885" w14:textId="77777777" w:rsidR="0076562C" w:rsidRPr="00B85025" w:rsidRDefault="0076562C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562C" w:rsidRPr="00B85025" w14:paraId="7CBA1FE5" w14:textId="77777777" w:rsidTr="00BC4883">
        <w:tc>
          <w:tcPr>
            <w:tcW w:w="4998" w:type="dxa"/>
          </w:tcPr>
          <w:p w14:paraId="0721CE9E" w14:textId="77777777" w:rsidR="0076562C" w:rsidRPr="009D59D7" w:rsidRDefault="0076562C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Otras:</w:t>
            </w:r>
          </w:p>
          <w:p w14:paraId="37004590" w14:textId="77777777" w:rsidR="0076562C" w:rsidRDefault="0076562C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Trabajo final (presentación)</w:t>
            </w:r>
          </w:p>
          <w:p w14:paraId="207967B4" w14:textId="77777777" w:rsidR="0076562C" w:rsidRPr="00B85025" w:rsidRDefault="0076562C" w:rsidP="00BC48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14:paraId="6C8C1551" w14:textId="77777777" w:rsidR="0076562C" w:rsidRDefault="0076562C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AB5B7" w14:textId="77777777" w:rsidR="0076562C" w:rsidRPr="009D59D7" w:rsidRDefault="0076562C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76562C" w:rsidRPr="00B85025" w14:paraId="35E9F274" w14:textId="77777777" w:rsidTr="00BC4883">
        <w:tc>
          <w:tcPr>
            <w:tcW w:w="4998" w:type="dxa"/>
            <w:vAlign w:val="center"/>
          </w:tcPr>
          <w:p w14:paraId="0B667C0C" w14:textId="77777777" w:rsidR="0076562C" w:rsidRPr="00B85025" w:rsidRDefault="0076562C" w:rsidP="00BC48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033" w:type="dxa"/>
            <w:vAlign w:val="center"/>
          </w:tcPr>
          <w:p w14:paraId="75B1828B" w14:textId="77777777" w:rsidR="0076562C" w:rsidRPr="00B85025" w:rsidRDefault="0076562C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26407431" w14:textId="77777777" w:rsidR="0076562C" w:rsidRDefault="0076562C" w:rsidP="00EF00F8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EB31AF" w:rsidRDefault="00706416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B0351B" w14:paraId="32FD8D9F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D0FD9" w14:textId="77777777" w:rsidR="00B0351B" w:rsidRPr="00FD57F0" w:rsidRDefault="00B0351B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Conocimientos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65F1E5" w14:textId="1C72DF2C" w:rsidR="00B0351B" w:rsidRPr="00FD57F0" w:rsidRDefault="00B0351B" w:rsidP="00A1599A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Analiza, comprende, interpreta y realiza propuestas relacionados al conflicto y los métodos y mecanismos alternos de solución</w:t>
            </w:r>
          </w:p>
        </w:tc>
      </w:tr>
      <w:tr w:rsidR="00B0351B" w14:paraId="50C6C0FD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EE5C7" w14:textId="77777777" w:rsidR="00B0351B" w:rsidRPr="00FD57F0" w:rsidRDefault="00B0351B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Aptitudes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1D50A" w14:textId="37FEA4BB" w:rsidR="00B0351B" w:rsidRPr="00FD57F0" w:rsidRDefault="00B0351B" w:rsidP="00A1599A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Investiga, analiza, pregunta, reflexiona y propone críticamente</w:t>
            </w:r>
            <w:r w:rsidR="00802BB1" w:rsidRPr="00FD57F0">
              <w:rPr>
                <w:rFonts w:ascii="Arial" w:hAnsi="Arial" w:cs="Arial"/>
                <w:sz w:val="18"/>
                <w:szCs w:val="18"/>
                <w:lang w:eastAsia="es-MX"/>
              </w:rPr>
              <w:t xml:space="preserve"> aspectos inherentes al </w:t>
            </w: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conflicto y los métodos y mecanismos alternos de solución</w:t>
            </w:r>
          </w:p>
        </w:tc>
      </w:tr>
      <w:tr w:rsidR="00B0351B" w14:paraId="2867A99B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69A60" w14:textId="77777777" w:rsidR="00B0351B" w:rsidRPr="00FD57F0" w:rsidRDefault="00B0351B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Actitudes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D475D" w14:textId="1F70DBD2" w:rsidR="00B0351B" w:rsidRPr="00FD57F0" w:rsidRDefault="00B0351B" w:rsidP="00A1599A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Asume una postura crítica, respetuosa, propositiva y ética, que le permite analizar el conflicto y los métodos y mecanismos alternos de solución</w:t>
            </w:r>
          </w:p>
        </w:tc>
      </w:tr>
      <w:tr w:rsidR="00B0351B" w14:paraId="2727AB42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26BA9" w14:textId="77777777" w:rsidR="00B0351B" w:rsidRPr="00FD57F0" w:rsidRDefault="00B0351B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Valores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90FC2" w14:textId="77777777" w:rsidR="00B0351B" w:rsidRPr="00FD57F0" w:rsidRDefault="00B0351B" w:rsidP="00A1599A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Responsabilidad, consistente en asumir el reto de lograr experiencias positivas de aprendizaje</w:t>
            </w:r>
          </w:p>
          <w:p w14:paraId="15EE4565" w14:textId="77777777" w:rsidR="00B0351B" w:rsidRPr="00FD57F0" w:rsidRDefault="00B0351B" w:rsidP="00A1599A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Compromiso, para asumir de forma completa las actividades por realizar durante el curso</w:t>
            </w:r>
          </w:p>
          <w:p w14:paraId="70E8E4D7" w14:textId="77777777" w:rsidR="00B0351B" w:rsidRPr="00FD57F0" w:rsidRDefault="00B0351B" w:rsidP="00A1599A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Honestidad, en cuanto que se relaciona con los demás de forma veraz</w:t>
            </w:r>
          </w:p>
          <w:p w14:paraId="31A0124E" w14:textId="77777777" w:rsidR="00B0351B" w:rsidRPr="00FD57F0" w:rsidRDefault="00B0351B" w:rsidP="00A1599A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Estudio, consistente en el esfuerzo físico e intelectual para lograr más y mejores aprendizajes</w:t>
            </w:r>
          </w:p>
          <w:p w14:paraId="64EAFA19" w14:textId="77777777" w:rsidR="00B0351B" w:rsidRPr="00FD57F0" w:rsidRDefault="00B0351B" w:rsidP="00A1599A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Salud, consistente en cuidar su alimentación y practicar deporte para mantener una vida saludable</w:t>
            </w:r>
          </w:p>
          <w:p w14:paraId="25898107" w14:textId="77777777" w:rsidR="00B0351B" w:rsidRPr="00FD57F0" w:rsidRDefault="00B0351B" w:rsidP="00A1599A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Justicia, como elemento indisoluble que aquilata el derecho a sus principios, la estabilidad y la felicidad de la sociedad</w:t>
            </w:r>
          </w:p>
        </w:tc>
      </w:tr>
      <w:tr w:rsidR="00B0351B" w14:paraId="2661BB3A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1C1EB" w14:textId="77777777" w:rsidR="00B0351B" w:rsidRPr="00FD57F0" w:rsidRDefault="00B0351B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Capacidades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91E06" w14:textId="0E60E5F0" w:rsidR="00B0351B" w:rsidRPr="00FD57F0" w:rsidRDefault="00B0351B" w:rsidP="00A1599A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Resuelve problemas con base en el pensamiento crítico, el trabajo individual y en equipo, el análisis de información, su selección y la escritura efectiva respecto del conflicto y los métodos y mecanismos alternos de solución en un ámbito de desempeño profesional</w:t>
            </w:r>
          </w:p>
        </w:tc>
      </w:tr>
      <w:tr w:rsidR="00B0351B" w14:paraId="5703EFC5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85B0B" w14:textId="77777777" w:rsidR="00B0351B" w:rsidRPr="00FD57F0" w:rsidRDefault="00B0351B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Habilidades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96699" w14:textId="1D0C64B7" w:rsidR="00B0351B" w:rsidRPr="00FD57F0" w:rsidRDefault="00B0351B" w:rsidP="00A1599A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Analiza y propone soluciones a problemas derivados del conflicto y los métodos y mecanismos alternos de solución</w:t>
            </w:r>
          </w:p>
          <w:p w14:paraId="73D1DEDC" w14:textId="77777777" w:rsidR="00B0351B" w:rsidRPr="00FD57F0" w:rsidRDefault="00B0351B" w:rsidP="00A1599A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 xml:space="preserve">Analiza, selecciona, elige y aplica información </w:t>
            </w:r>
          </w:p>
          <w:p w14:paraId="555F91AF" w14:textId="77777777" w:rsidR="00B0351B" w:rsidRPr="00FD57F0" w:rsidRDefault="00B0351B" w:rsidP="00A1599A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Trabaja en equipo, contribuye y colabora con sus aportaciones a sus compañeros</w:t>
            </w:r>
          </w:p>
          <w:p w14:paraId="4E64D8D7" w14:textId="77777777" w:rsidR="00B0351B" w:rsidRPr="00FD57F0" w:rsidRDefault="00B0351B" w:rsidP="00A1599A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Seguridad y confianza en sí mismo, al lograr conocimientos que puede transferir a la práctica</w:t>
            </w:r>
          </w:p>
          <w:p w14:paraId="0DDF8A06" w14:textId="025CBC99" w:rsidR="00B0351B" w:rsidRPr="00FD57F0" w:rsidRDefault="00B0351B" w:rsidP="00A1599A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Comprende e interpreta los principios y normas relacionadas al conflicto y los métodos y mecanismos alternos de solución</w:t>
            </w:r>
          </w:p>
          <w:p w14:paraId="53BEBA75" w14:textId="77777777" w:rsidR="00B0351B" w:rsidRPr="00FD57F0" w:rsidRDefault="00B0351B" w:rsidP="00A1599A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7F0">
              <w:rPr>
                <w:rFonts w:ascii="Arial" w:hAnsi="Arial" w:cs="Arial"/>
                <w:sz w:val="18"/>
                <w:szCs w:val="18"/>
                <w:lang w:eastAsia="es-MX"/>
              </w:rPr>
              <w:t>Sensibilidad interpersonal y empatía al comunicarse y relacionarse con sus compañeros y profesor</w:t>
            </w:r>
          </w:p>
        </w:tc>
      </w:tr>
    </w:tbl>
    <w:p w14:paraId="08F943C6" w14:textId="77777777" w:rsidR="008731A5" w:rsidRPr="00EB31AF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2BA06A69" w14:textId="662038EA" w:rsidR="00761744" w:rsidRPr="00EB31AF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EB31AF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Pr="00EB31AF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B87E2C" w:rsidRPr="00EB31AF" w14:paraId="3EFA45FF" w14:textId="6FE9BEC7" w:rsidTr="00DB63E7">
        <w:tc>
          <w:tcPr>
            <w:tcW w:w="1809" w:type="dxa"/>
            <w:vAlign w:val="center"/>
          </w:tcPr>
          <w:p w14:paraId="416FB55C" w14:textId="39D44A24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758D74F8" w14:textId="4FD3553F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4ECD332C" w14:textId="797A31B8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3130FA2C" w14:textId="5FD245E5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7548BCFE" w14:textId="5F2FEA53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B87E2C" w:rsidRPr="00E6314C" w14:paraId="353D2643" w14:textId="77777777" w:rsidTr="00DB63E7">
        <w:tc>
          <w:tcPr>
            <w:tcW w:w="1809" w:type="dxa"/>
            <w:vAlign w:val="center"/>
          </w:tcPr>
          <w:p w14:paraId="04D93696" w14:textId="0C794B59" w:rsidR="00A51ECA" w:rsidRPr="00E6314C" w:rsidRDefault="00DB63E7" w:rsidP="00B87E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314C">
              <w:rPr>
                <w:rFonts w:ascii="Arial" w:hAnsi="Arial" w:cs="Arial"/>
                <w:bCs/>
                <w:sz w:val="18"/>
                <w:szCs w:val="18"/>
              </w:rPr>
              <w:t>Gorjón</w:t>
            </w:r>
            <w:proofErr w:type="spellEnd"/>
            <w:r w:rsidRPr="00E6314C">
              <w:rPr>
                <w:rFonts w:ascii="Arial" w:hAnsi="Arial" w:cs="Arial"/>
                <w:bCs/>
                <w:sz w:val="18"/>
                <w:szCs w:val="18"/>
              </w:rPr>
              <w:t xml:space="preserve"> Gómez, Francisco J., </w:t>
            </w:r>
            <w:proofErr w:type="spellStart"/>
            <w:r w:rsidRPr="00E6314C">
              <w:rPr>
                <w:rFonts w:ascii="Arial" w:hAnsi="Arial" w:cs="Arial"/>
                <w:bCs/>
                <w:sz w:val="18"/>
                <w:szCs w:val="18"/>
              </w:rPr>
              <w:t>Steele</w:t>
            </w:r>
            <w:proofErr w:type="spellEnd"/>
            <w:r w:rsidRPr="00E6314C">
              <w:rPr>
                <w:rFonts w:ascii="Arial" w:hAnsi="Arial" w:cs="Arial"/>
                <w:bCs/>
                <w:sz w:val="18"/>
                <w:szCs w:val="18"/>
              </w:rPr>
              <w:t xml:space="preserve"> Garza, José G.</w:t>
            </w:r>
          </w:p>
        </w:tc>
        <w:tc>
          <w:tcPr>
            <w:tcW w:w="2268" w:type="dxa"/>
            <w:vAlign w:val="center"/>
          </w:tcPr>
          <w:p w14:paraId="1C0FCAC6" w14:textId="75230DDC" w:rsidR="00A51ECA" w:rsidRPr="00E6314C" w:rsidRDefault="00DB63E7" w:rsidP="00B87E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Métodos Alternativos d</w:t>
            </w:r>
            <w:r w:rsidRPr="00E6314C">
              <w:rPr>
                <w:rFonts w:ascii="Arial" w:hAnsi="Arial" w:cs="Arial"/>
                <w:bCs/>
                <w:sz w:val="18"/>
                <w:szCs w:val="18"/>
              </w:rPr>
              <w:t>e S</w:t>
            </w:r>
            <w:r>
              <w:rPr>
                <w:rFonts w:ascii="Arial" w:hAnsi="Arial" w:cs="Arial"/>
                <w:bCs/>
                <w:sz w:val="18"/>
                <w:szCs w:val="18"/>
              </w:rPr>
              <w:t>olución d</w:t>
            </w:r>
            <w:r w:rsidRPr="00E6314C">
              <w:rPr>
                <w:rFonts w:ascii="Arial" w:hAnsi="Arial" w:cs="Arial"/>
                <w:bCs/>
                <w:sz w:val="18"/>
                <w:szCs w:val="18"/>
              </w:rPr>
              <w:t>e Conflictos</w:t>
            </w:r>
          </w:p>
        </w:tc>
        <w:tc>
          <w:tcPr>
            <w:tcW w:w="1985" w:type="dxa"/>
            <w:vAlign w:val="center"/>
          </w:tcPr>
          <w:p w14:paraId="24E2BCD6" w14:textId="5C3E96CB" w:rsidR="00A51ECA" w:rsidRPr="00E6314C" w:rsidRDefault="00DB63E7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14C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29732C58" w14:textId="75CC7731" w:rsidR="00A51ECA" w:rsidRPr="00E6314C" w:rsidRDefault="00DB63E7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14C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977" w:type="dxa"/>
            <w:vAlign w:val="center"/>
          </w:tcPr>
          <w:p w14:paraId="4278F433" w14:textId="2DD1C28C" w:rsidR="00A51ECA" w:rsidRPr="00E6314C" w:rsidRDefault="00DB63E7" w:rsidP="000C51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14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B87E2C" w:rsidRPr="00E6314C" w14:paraId="47FCE8BF" w14:textId="77777777" w:rsidTr="00DB63E7">
        <w:tc>
          <w:tcPr>
            <w:tcW w:w="1809" w:type="dxa"/>
            <w:vAlign w:val="center"/>
          </w:tcPr>
          <w:p w14:paraId="23F6A037" w14:textId="209036B7" w:rsidR="001E33B3" w:rsidRPr="00E6314C" w:rsidRDefault="00DB63E7" w:rsidP="00B87E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14C">
              <w:rPr>
                <w:rFonts w:ascii="Arial" w:hAnsi="Arial" w:cs="Arial"/>
                <w:bCs/>
                <w:sz w:val="18"/>
                <w:szCs w:val="18"/>
              </w:rPr>
              <w:t>Bardales Lazcano, Erika</w:t>
            </w:r>
          </w:p>
        </w:tc>
        <w:tc>
          <w:tcPr>
            <w:tcW w:w="2268" w:type="dxa"/>
            <w:vAlign w:val="center"/>
          </w:tcPr>
          <w:p w14:paraId="476D2D2E" w14:textId="11A61933" w:rsidR="001E33B3" w:rsidRPr="00E6314C" w:rsidRDefault="00DB63E7" w:rsidP="00B87E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Medios Alternativos de Solución de Conflictos y</w:t>
            </w:r>
            <w:r w:rsidRPr="00E6314C">
              <w:rPr>
                <w:rFonts w:ascii="Arial" w:hAnsi="Arial" w:cs="Arial"/>
                <w:bCs/>
                <w:sz w:val="18"/>
                <w:szCs w:val="18"/>
              </w:rPr>
              <w:t xml:space="preserve"> Justicia Restaurativa</w:t>
            </w:r>
          </w:p>
        </w:tc>
        <w:tc>
          <w:tcPr>
            <w:tcW w:w="1985" w:type="dxa"/>
            <w:vAlign w:val="center"/>
          </w:tcPr>
          <w:p w14:paraId="426B1753" w14:textId="193A32B8" w:rsidR="001E33B3" w:rsidRPr="00E6314C" w:rsidRDefault="00DB63E7" w:rsidP="00B87E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Flores Editor y</w:t>
            </w:r>
            <w:r w:rsidRPr="00E6314C">
              <w:rPr>
                <w:rFonts w:ascii="Arial" w:hAnsi="Arial" w:cs="Arial"/>
                <w:bCs/>
                <w:sz w:val="18"/>
                <w:szCs w:val="18"/>
              </w:rPr>
              <w:t xml:space="preserve"> Distribuidor</w:t>
            </w:r>
          </w:p>
        </w:tc>
        <w:tc>
          <w:tcPr>
            <w:tcW w:w="992" w:type="dxa"/>
            <w:vAlign w:val="center"/>
          </w:tcPr>
          <w:p w14:paraId="216AAE49" w14:textId="1DFB10D2" w:rsidR="001E33B3" w:rsidRPr="00E6314C" w:rsidRDefault="00DB63E7" w:rsidP="001E33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14C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77" w:type="dxa"/>
            <w:vAlign w:val="center"/>
          </w:tcPr>
          <w:p w14:paraId="14ACE5E9" w14:textId="5D5C41D0" w:rsidR="001E33B3" w:rsidRPr="00E6314C" w:rsidRDefault="00DB63E7" w:rsidP="000C51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14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7D346130" w14:textId="77777777" w:rsidR="00761744" w:rsidRPr="00EB31AF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Pr="00EB31AF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14:paraId="5551C940" w14:textId="77777777" w:rsidR="00490699" w:rsidRPr="00EB31AF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798"/>
        <w:gridCol w:w="2308"/>
        <w:gridCol w:w="1985"/>
        <w:gridCol w:w="963"/>
        <w:gridCol w:w="2977"/>
      </w:tblGrid>
      <w:tr w:rsidR="00490699" w:rsidRPr="00EB31AF" w14:paraId="14903829" w14:textId="77777777" w:rsidTr="00DB63E7">
        <w:tc>
          <w:tcPr>
            <w:tcW w:w="1798" w:type="dxa"/>
            <w:vAlign w:val="center"/>
          </w:tcPr>
          <w:p w14:paraId="3DA26FCC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308" w:type="dxa"/>
            <w:vAlign w:val="center"/>
          </w:tcPr>
          <w:p w14:paraId="1BA7ACE5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0AA0811F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63" w:type="dxa"/>
            <w:vAlign w:val="center"/>
          </w:tcPr>
          <w:p w14:paraId="4A863104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19134D7B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B97F2B" w:rsidRPr="00E6314C" w14:paraId="29583106" w14:textId="77777777" w:rsidTr="002D4CD4">
        <w:tc>
          <w:tcPr>
            <w:tcW w:w="1798" w:type="dxa"/>
            <w:vAlign w:val="center"/>
          </w:tcPr>
          <w:p w14:paraId="0AFCC7C3" w14:textId="58F98D52" w:rsidR="00B97F2B" w:rsidRPr="00E6314C" w:rsidRDefault="00227F64" w:rsidP="00227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García-López, Érica </w:t>
            </w:r>
          </w:p>
        </w:tc>
        <w:tc>
          <w:tcPr>
            <w:tcW w:w="2308" w:type="dxa"/>
            <w:vAlign w:val="center"/>
          </w:tcPr>
          <w:p w14:paraId="1E884913" w14:textId="33FDA901" w:rsidR="00B97F2B" w:rsidRPr="00E6314C" w:rsidRDefault="00227F64" w:rsidP="002D4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Mediación: perspectivas desde la Psicología Jurídica</w:t>
            </w:r>
          </w:p>
        </w:tc>
        <w:tc>
          <w:tcPr>
            <w:tcW w:w="1985" w:type="dxa"/>
            <w:vAlign w:val="center"/>
          </w:tcPr>
          <w:p w14:paraId="6D683172" w14:textId="78AF79C6" w:rsidR="00B97F2B" w:rsidRPr="00E6314C" w:rsidRDefault="00227F64" w:rsidP="002D4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Manual Moderno</w:t>
            </w:r>
            <w:bookmarkStart w:id="0" w:name="_GoBack"/>
            <w:bookmarkEnd w:id="0"/>
          </w:p>
        </w:tc>
        <w:tc>
          <w:tcPr>
            <w:tcW w:w="963" w:type="dxa"/>
            <w:vAlign w:val="center"/>
          </w:tcPr>
          <w:p w14:paraId="513DD08F" w14:textId="5B07BCEC" w:rsidR="00B97F2B" w:rsidRPr="00E6314C" w:rsidRDefault="00B97F2B" w:rsidP="00227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227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4B76D863" w14:textId="77777777" w:rsidR="00B97F2B" w:rsidRPr="00E6314C" w:rsidRDefault="00B97F2B" w:rsidP="002D4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0C44" w:rsidRPr="00E6314C" w14:paraId="5B058AB1" w14:textId="77777777" w:rsidTr="002D4CD4">
        <w:tc>
          <w:tcPr>
            <w:tcW w:w="1798" w:type="dxa"/>
            <w:vAlign w:val="center"/>
          </w:tcPr>
          <w:p w14:paraId="7E3DB002" w14:textId="69EFEBC6" w:rsidR="00E30C44" w:rsidRPr="00E6314C" w:rsidRDefault="00E30C44" w:rsidP="002D4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Ferráez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Ana Elena </w:t>
            </w:r>
          </w:p>
        </w:tc>
        <w:tc>
          <w:tcPr>
            <w:tcW w:w="2308" w:type="dxa"/>
            <w:vAlign w:val="center"/>
          </w:tcPr>
          <w:p w14:paraId="1F964BB1" w14:textId="01ADAD92" w:rsidR="00E30C44" w:rsidRPr="00E6314C" w:rsidRDefault="00E30C44" w:rsidP="002D4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Manejo de Conflictos y Mediación</w:t>
            </w:r>
          </w:p>
        </w:tc>
        <w:tc>
          <w:tcPr>
            <w:tcW w:w="1985" w:type="dxa"/>
            <w:vAlign w:val="center"/>
          </w:tcPr>
          <w:p w14:paraId="63E28EA7" w14:textId="6DE577F7" w:rsidR="00E30C44" w:rsidRPr="00E6314C" w:rsidRDefault="00E30C44" w:rsidP="002D4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63" w:type="dxa"/>
            <w:vAlign w:val="center"/>
          </w:tcPr>
          <w:p w14:paraId="05879635" w14:textId="3434EFEF" w:rsidR="00E30C44" w:rsidRPr="00E6314C" w:rsidRDefault="00E30C44" w:rsidP="002D4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977" w:type="dxa"/>
            <w:vAlign w:val="center"/>
          </w:tcPr>
          <w:p w14:paraId="3D9A1432" w14:textId="77777777" w:rsidR="00E30C44" w:rsidRPr="00E6314C" w:rsidRDefault="00E30C44" w:rsidP="002D4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7F44" w:rsidRPr="00E6314C" w14:paraId="450F3BA8" w14:textId="77777777" w:rsidTr="00DB63E7">
        <w:tc>
          <w:tcPr>
            <w:tcW w:w="1798" w:type="dxa"/>
            <w:vAlign w:val="center"/>
          </w:tcPr>
          <w:p w14:paraId="469ED781" w14:textId="08F011FD" w:rsidR="00867F44" w:rsidRPr="00E6314C" w:rsidRDefault="00DB63E7" w:rsidP="00CE78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314C">
              <w:rPr>
                <w:rFonts w:ascii="Arial" w:hAnsi="Arial" w:cs="Arial"/>
                <w:sz w:val="18"/>
                <w:szCs w:val="18"/>
              </w:rPr>
              <w:t>Urribary</w:t>
            </w:r>
            <w:proofErr w:type="spellEnd"/>
            <w:r w:rsidRPr="00E6314C">
              <w:rPr>
                <w:rFonts w:ascii="Arial" w:hAnsi="Arial" w:cs="Arial"/>
                <w:sz w:val="18"/>
                <w:szCs w:val="18"/>
              </w:rPr>
              <w:t xml:space="preserve"> Carpintero, Gonzalo</w:t>
            </w:r>
          </w:p>
        </w:tc>
        <w:tc>
          <w:tcPr>
            <w:tcW w:w="2308" w:type="dxa"/>
            <w:vAlign w:val="center"/>
          </w:tcPr>
          <w:p w14:paraId="56BE4368" w14:textId="786469B1" w:rsidR="00867F44" w:rsidRPr="00E6314C" w:rsidRDefault="00DB63E7" w:rsidP="00CE78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Acceso a la Justicia Alternativa, la Reforma a</w:t>
            </w:r>
            <w:r w:rsidRPr="00E6314C">
              <w:rPr>
                <w:rFonts w:ascii="Arial" w:hAnsi="Arial" w:cs="Arial"/>
                <w:sz w:val="18"/>
                <w:szCs w:val="18"/>
              </w:rPr>
              <w:t>l Artículo 17 Constitucional</w:t>
            </w:r>
          </w:p>
        </w:tc>
        <w:tc>
          <w:tcPr>
            <w:tcW w:w="1985" w:type="dxa"/>
            <w:vAlign w:val="center"/>
          </w:tcPr>
          <w:p w14:paraId="5C2CDAED" w14:textId="2308856F" w:rsidR="00867F44" w:rsidRPr="00E6314C" w:rsidRDefault="00DB63E7" w:rsidP="00CE78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14C">
              <w:rPr>
                <w:rFonts w:ascii="Arial" w:hAnsi="Arial" w:cs="Arial"/>
                <w:sz w:val="18"/>
                <w:szCs w:val="18"/>
              </w:rPr>
              <w:t>Porrúa.</w:t>
            </w:r>
          </w:p>
        </w:tc>
        <w:tc>
          <w:tcPr>
            <w:tcW w:w="963" w:type="dxa"/>
            <w:vAlign w:val="center"/>
          </w:tcPr>
          <w:p w14:paraId="3FD79063" w14:textId="0CF92D65" w:rsidR="00867F44" w:rsidRPr="00E6314C" w:rsidRDefault="00A23AE4" w:rsidP="00CE78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14C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977" w:type="dxa"/>
            <w:vAlign w:val="center"/>
          </w:tcPr>
          <w:p w14:paraId="4BCAFB15" w14:textId="4F4B6799" w:rsidR="00867F44" w:rsidRPr="00E6314C" w:rsidRDefault="00867F44" w:rsidP="000C51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63E7" w:rsidRPr="00E6314C" w14:paraId="4B9073D4" w14:textId="77777777" w:rsidTr="00DB63E7">
        <w:tc>
          <w:tcPr>
            <w:tcW w:w="1798" w:type="dxa"/>
            <w:vAlign w:val="center"/>
          </w:tcPr>
          <w:p w14:paraId="6FF289BA" w14:textId="77777777" w:rsidR="00DB63E7" w:rsidRPr="00E6314C" w:rsidRDefault="00DB63E7" w:rsidP="00DB6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14:paraId="469A8B72" w14:textId="36AA7ED2" w:rsidR="00DB63E7" w:rsidRPr="00E6314C" w:rsidRDefault="00DB63E7" w:rsidP="00DB6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Ley de Justicia Alternativa d</w:t>
            </w:r>
            <w:r w:rsidRPr="00E6314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>l Estado d</w:t>
            </w:r>
            <w:r w:rsidRPr="00E6314C">
              <w:rPr>
                <w:rFonts w:ascii="Arial" w:hAnsi="Arial" w:cs="Arial"/>
                <w:bCs/>
                <w:sz w:val="18"/>
                <w:szCs w:val="18"/>
              </w:rPr>
              <w:t>e Jalisco</w:t>
            </w:r>
          </w:p>
        </w:tc>
        <w:tc>
          <w:tcPr>
            <w:tcW w:w="1985" w:type="dxa"/>
            <w:vAlign w:val="center"/>
          </w:tcPr>
          <w:p w14:paraId="31E47D64" w14:textId="77777777" w:rsidR="00DB63E7" w:rsidRPr="00E6314C" w:rsidRDefault="00DB63E7" w:rsidP="00DB6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5AB2B2A" w14:textId="295925D0" w:rsidR="00DB63E7" w:rsidRPr="00E6314C" w:rsidRDefault="00DB63E7" w:rsidP="00DB6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2977" w:type="dxa"/>
            <w:vAlign w:val="center"/>
          </w:tcPr>
          <w:p w14:paraId="32A3A8D3" w14:textId="522EE283" w:rsidR="00DB63E7" w:rsidRPr="00E6314C" w:rsidRDefault="00DB63E7" w:rsidP="00DB63E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DCB">
              <w:rPr>
                <w:rFonts w:ascii="Arial" w:hAnsi="Arial" w:cs="Arial"/>
                <w:color w:val="000000"/>
                <w:sz w:val="18"/>
                <w:szCs w:val="18"/>
              </w:rPr>
              <w:t>http://congresoweb.congresojal.gob.mx/BibliotecaVirtual/busquedasleyes/Listado.cfm#Leyes</w:t>
            </w:r>
          </w:p>
        </w:tc>
      </w:tr>
    </w:tbl>
    <w:p w14:paraId="0936F7FA" w14:textId="77777777" w:rsidR="00490699" w:rsidRPr="00EB31AF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134CB618" w:rsidR="00490699" w:rsidRPr="00EB31AF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 xml:space="preserve">5 </w:t>
      </w:r>
      <w:r w:rsidR="00FD32ED" w:rsidRPr="00EB31AF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0AA53F53" w14:textId="77777777" w:rsidR="00490699" w:rsidRPr="00EB31AF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4923" w:type="pct"/>
        <w:tblLook w:val="04A0" w:firstRow="1" w:lastRow="0" w:firstColumn="1" w:lastColumn="0" w:noHBand="0" w:noVBand="1"/>
      </w:tblPr>
      <w:tblGrid>
        <w:gridCol w:w="1276"/>
        <w:gridCol w:w="1739"/>
        <w:gridCol w:w="1457"/>
        <w:gridCol w:w="1370"/>
        <w:gridCol w:w="1292"/>
        <w:gridCol w:w="1234"/>
        <w:gridCol w:w="1663"/>
      </w:tblGrid>
      <w:tr w:rsidR="00F81D77" w:rsidRPr="00EB31AF" w14:paraId="1D5A924E" w14:textId="77777777" w:rsidTr="00A1599A">
        <w:tc>
          <w:tcPr>
            <w:tcW w:w="636" w:type="pct"/>
            <w:vAlign w:val="center"/>
          </w:tcPr>
          <w:p w14:paraId="1D725795" w14:textId="524D36F2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67" w:type="pct"/>
            <w:vAlign w:val="center"/>
          </w:tcPr>
          <w:p w14:paraId="4696AE12" w14:textId="48BBCA37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726" w:type="pct"/>
            <w:vAlign w:val="center"/>
          </w:tcPr>
          <w:p w14:paraId="1DA0B232" w14:textId="074B86BC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83" w:type="pct"/>
            <w:vAlign w:val="center"/>
          </w:tcPr>
          <w:p w14:paraId="38E0F0D8" w14:textId="7ADBB28A" w:rsidR="00F93D7F" w:rsidRPr="00EB31AF" w:rsidRDefault="00F93D7F" w:rsidP="00C90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644" w:type="pct"/>
            <w:vAlign w:val="center"/>
          </w:tcPr>
          <w:p w14:paraId="28846FA7" w14:textId="595D58B5" w:rsidR="00F93D7F" w:rsidRPr="00EB31AF" w:rsidRDefault="00F93D7F" w:rsidP="00C90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615" w:type="pct"/>
            <w:vAlign w:val="center"/>
          </w:tcPr>
          <w:p w14:paraId="7BBC23B2" w14:textId="6D210C44" w:rsidR="00F93D7F" w:rsidRPr="00EB31AF" w:rsidRDefault="00F93D7F" w:rsidP="00C90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829" w:type="pct"/>
            <w:vAlign w:val="center"/>
          </w:tcPr>
          <w:p w14:paraId="7BB24F2F" w14:textId="27E077DA" w:rsidR="00F93D7F" w:rsidRPr="00EB31AF" w:rsidRDefault="00F93D7F" w:rsidP="00C90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FE39AB" w:rsidRPr="00F81D77" w14:paraId="5F5222CE" w14:textId="77777777" w:rsidTr="00A1599A">
        <w:tc>
          <w:tcPr>
            <w:tcW w:w="636" w:type="pct"/>
            <w:vAlign w:val="center"/>
          </w:tcPr>
          <w:p w14:paraId="594670D7" w14:textId="117E6AA6" w:rsidR="00FE39AB" w:rsidRPr="00F81D77" w:rsidRDefault="00DB63E7" w:rsidP="00DB6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7" w:type="pct"/>
            <w:vAlign w:val="center"/>
          </w:tcPr>
          <w:p w14:paraId="7146B362" w14:textId="77777777" w:rsidR="00FE39AB" w:rsidRDefault="00FE39AB" w:rsidP="00F8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D1A985" w14:textId="77777777" w:rsidR="00BC1492" w:rsidRDefault="00BC1492" w:rsidP="00F8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9AB">
              <w:rPr>
                <w:rFonts w:ascii="Arial" w:hAnsi="Arial" w:cs="Arial"/>
                <w:bCs/>
                <w:sz w:val="16"/>
                <w:szCs w:val="16"/>
              </w:rPr>
              <w:t>Unidad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405CA3D9" w14:textId="6B6EB8C8" w:rsidR="00FE39AB" w:rsidRDefault="00BC1492" w:rsidP="00F8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9AB">
              <w:rPr>
                <w:rFonts w:ascii="Arial" w:hAnsi="Arial" w:cs="Arial"/>
                <w:bCs/>
                <w:sz w:val="16"/>
                <w:szCs w:val="16"/>
              </w:rPr>
              <w:t>Marco Referencial</w:t>
            </w:r>
          </w:p>
          <w:p w14:paraId="7E63CB02" w14:textId="469F888F" w:rsidR="00FE39AB" w:rsidRPr="00F81D77" w:rsidRDefault="00FE39AB" w:rsidP="00F8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6" w:type="pct"/>
            <w:vAlign w:val="center"/>
          </w:tcPr>
          <w:p w14:paraId="557002F0" w14:textId="01F8988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Todos los subtemas de la unidad</w:t>
            </w:r>
          </w:p>
        </w:tc>
        <w:tc>
          <w:tcPr>
            <w:tcW w:w="683" w:type="pct"/>
            <w:vAlign w:val="center"/>
          </w:tcPr>
          <w:p w14:paraId="452D8ABA" w14:textId="3900222C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Unidad explicada y expuesta por el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docente</w:t>
            </w:r>
          </w:p>
        </w:tc>
        <w:tc>
          <w:tcPr>
            <w:tcW w:w="644" w:type="pct"/>
            <w:vAlign w:val="center"/>
          </w:tcPr>
          <w:p w14:paraId="7FF52CBA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Pintarrón,</w:t>
            </w:r>
          </w:p>
          <w:p w14:paraId="7BC1C8D0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7F2FDDBB" w14:textId="5441CD78" w:rsidR="00FE39AB" w:rsidRPr="00F81D77" w:rsidRDefault="00BC7FBB" w:rsidP="00BC7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Computadora</w:t>
            </w:r>
          </w:p>
        </w:tc>
        <w:tc>
          <w:tcPr>
            <w:tcW w:w="615" w:type="pct"/>
            <w:vAlign w:val="center"/>
          </w:tcPr>
          <w:p w14:paraId="6A5A38CE" w14:textId="77777777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22422A01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6EB157EC" w14:textId="77777777" w:rsidTr="00A1599A">
        <w:tc>
          <w:tcPr>
            <w:tcW w:w="636" w:type="pct"/>
            <w:vAlign w:val="center"/>
          </w:tcPr>
          <w:p w14:paraId="30C84674" w14:textId="64614B46" w:rsidR="00FE39AB" w:rsidRPr="003A38B8" w:rsidRDefault="00DB63E7" w:rsidP="00F2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7" w:type="pct"/>
            <w:vAlign w:val="center"/>
          </w:tcPr>
          <w:p w14:paraId="11B3C6E5" w14:textId="77777777" w:rsidR="00BC1492" w:rsidRDefault="00BC1492" w:rsidP="00F8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>Unidad 2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53EE55E7" w14:textId="7165DEFF" w:rsidR="00FE39AB" w:rsidRPr="00F81D77" w:rsidRDefault="00BC1492" w:rsidP="00BC14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Mediación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 Conciliación</w:t>
            </w:r>
          </w:p>
        </w:tc>
        <w:tc>
          <w:tcPr>
            <w:tcW w:w="726" w:type="pct"/>
            <w:vAlign w:val="center"/>
          </w:tcPr>
          <w:p w14:paraId="79626E2F" w14:textId="1A60A7EB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83" w:type="pct"/>
            <w:vAlign w:val="center"/>
          </w:tcPr>
          <w:p w14:paraId="5029F729" w14:textId="09169181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44" w:type="pct"/>
            <w:vAlign w:val="center"/>
          </w:tcPr>
          <w:p w14:paraId="3AFFA6D2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7CAF976F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74FBC3EC" w14:textId="775172A9" w:rsidR="00FE39AB" w:rsidRPr="00F81D77" w:rsidRDefault="00BC7FBB" w:rsidP="00BC7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5" w:type="pct"/>
            <w:vAlign w:val="center"/>
          </w:tcPr>
          <w:p w14:paraId="79982161" w14:textId="77777777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5C456E9D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0BC5B5C0" w14:textId="77777777" w:rsidTr="00A1599A">
        <w:tc>
          <w:tcPr>
            <w:tcW w:w="636" w:type="pct"/>
            <w:vAlign w:val="center"/>
          </w:tcPr>
          <w:p w14:paraId="36AB70BD" w14:textId="24FDC23E" w:rsidR="00FE39AB" w:rsidRPr="00F81D77" w:rsidRDefault="00DB63E7" w:rsidP="005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96FF3"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="004B4A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7" w:type="pct"/>
            <w:vAlign w:val="center"/>
          </w:tcPr>
          <w:p w14:paraId="6D986E0A" w14:textId="77777777" w:rsidR="00BC1492" w:rsidRDefault="00BC1492" w:rsidP="00BC14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>Unidad 2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6A10C831" w14:textId="102BD852" w:rsidR="00FE39AB" w:rsidRPr="00F81D77" w:rsidRDefault="00BC1492" w:rsidP="00BC14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Mediación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 Conciliación</w:t>
            </w:r>
          </w:p>
        </w:tc>
        <w:tc>
          <w:tcPr>
            <w:tcW w:w="726" w:type="pct"/>
            <w:vAlign w:val="center"/>
          </w:tcPr>
          <w:p w14:paraId="4EAE5EA3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2.2 Tipos de Conciliación </w:t>
            </w:r>
          </w:p>
          <w:p w14:paraId="12716F28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2.3 Función del conciliador </w:t>
            </w:r>
          </w:p>
          <w:p w14:paraId="20DCEF39" w14:textId="4A6FE92A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2.4 Función del abogado en la conciliación </w:t>
            </w:r>
          </w:p>
        </w:tc>
        <w:tc>
          <w:tcPr>
            <w:tcW w:w="683" w:type="pct"/>
            <w:vAlign w:val="center"/>
          </w:tcPr>
          <w:p w14:paraId="3FAD8ABB" w14:textId="4DA2996D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Representar una conciliación a partir de un caso hipotético</w:t>
            </w:r>
            <w:r>
              <w:rPr>
                <w:rFonts w:ascii="Arial" w:hAnsi="Arial" w:cs="Arial"/>
                <w:sz w:val="16"/>
                <w:szCs w:val="16"/>
              </w:rPr>
              <w:t>, precisando e incentivando, en su caso:</w:t>
            </w:r>
          </w:p>
          <w:p w14:paraId="741E26DC" w14:textId="497E7513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11DEF2F3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7541A611" w14:textId="3AE38D90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56D21501" w14:textId="03181321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  <w:tc>
          <w:tcPr>
            <w:tcW w:w="644" w:type="pct"/>
            <w:vAlign w:val="center"/>
          </w:tcPr>
          <w:p w14:paraId="547CA326" w14:textId="0FAA4FD4" w:rsidR="00FE39AB" w:rsidRPr="00F81D77" w:rsidRDefault="00BC7FBB" w:rsidP="00BC7F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Aula de clases o Sala de Juicios Orales</w:t>
            </w:r>
          </w:p>
        </w:tc>
        <w:tc>
          <w:tcPr>
            <w:tcW w:w="615" w:type="pct"/>
            <w:vAlign w:val="center"/>
          </w:tcPr>
          <w:p w14:paraId="4C8BD633" w14:textId="0AFDFB80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Actividad 10%</w:t>
            </w:r>
          </w:p>
        </w:tc>
        <w:tc>
          <w:tcPr>
            <w:tcW w:w="829" w:type="pct"/>
            <w:vAlign w:val="center"/>
          </w:tcPr>
          <w:p w14:paraId="6C26174D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0C58C94E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452F7134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2BA543DC" w14:textId="4816B6C0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</w:tr>
      <w:tr w:rsidR="00FE39AB" w:rsidRPr="00F81D77" w14:paraId="6F506E2B" w14:textId="77777777" w:rsidTr="00A1599A">
        <w:tc>
          <w:tcPr>
            <w:tcW w:w="636" w:type="pct"/>
            <w:vAlign w:val="center"/>
          </w:tcPr>
          <w:p w14:paraId="3D59917C" w14:textId="584F1CFF" w:rsidR="00FE39AB" w:rsidRDefault="00596FF3" w:rsidP="00F2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7" w:type="pct"/>
            <w:vAlign w:val="center"/>
          </w:tcPr>
          <w:p w14:paraId="01D358D4" w14:textId="77777777" w:rsidR="00BC1492" w:rsidRDefault="00BC1492" w:rsidP="00BC14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9AB">
              <w:rPr>
                <w:rFonts w:ascii="Arial" w:hAnsi="Arial" w:cs="Arial"/>
                <w:bCs/>
                <w:sz w:val="16"/>
                <w:szCs w:val="16"/>
              </w:rPr>
              <w:t>Unidad 3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302F1A50" w14:textId="1A9083DB" w:rsidR="00FE39AB" w:rsidRPr="00F81D77" w:rsidRDefault="00BC1492" w:rsidP="00BC14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Marco General de los Métodos Alternativos de Solución d</w:t>
            </w:r>
            <w:r w:rsidRPr="00FE39AB">
              <w:rPr>
                <w:rFonts w:ascii="Arial" w:hAnsi="Arial" w:cs="Arial"/>
                <w:bCs/>
                <w:sz w:val="16"/>
                <w:szCs w:val="16"/>
              </w:rPr>
              <w:t>e Conflictos</w:t>
            </w:r>
          </w:p>
        </w:tc>
        <w:tc>
          <w:tcPr>
            <w:tcW w:w="726" w:type="pct"/>
            <w:vAlign w:val="center"/>
          </w:tcPr>
          <w:p w14:paraId="1A1147DB" w14:textId="7BED4643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83" w:type="pct"/>
            <w:vAlign w:val="center"/>
          </w:tcPr>
          <w:p w14:paraId="23FE5967" w14:textId="58AD6E80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44" w:type="pct"/>
            <w:vAlign w:val="center"/>
          </w:tcPr>
          <w:p w14:paraId="71A05873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2F6E3541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6FB88AC6" w14:textId="31FDD3A8" w:rsidR="00FE39AB" w:rsidRPr="00F81D77" w:rsidRDefault="00BC7FBB" w:rsidP="00BC7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5" w:type="pct"/>
            <w:vAlign w:val="center"/>
          </w:tcPr>
          <w:p w14:paraId="15B0BD47" w14:textId="77777777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3859FD1F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2EAEB57A" w14:textId="77777777" w:rsidTr="00A1599A">
        <w:tc>
          <w:tcPr>
            <w:tcW w:w="636" w:type="pct"/>
            <w:vAlign w:val="center"/>
          </w:tcPr>
          <w:p w14:paraId="1A39F427" w14:textId="357B4779" w:rsidR="00FE39AB" w:rsidRDefault="00596FF3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20" w:type="pct"/>
            <w:gridSpan w:val="4"/>
            <w:vAlign w:val="center"/>
          </w:tcPr>
          <w:p w14:paraId="170A04D9" w14:textId="1862E808" w:rsidR="00FE39AB" w:rsidRPr="000A0675" w:rsidRDefault="00BC1492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Examen Parcial</w:t>
            </w:r>
          </w:p>
        </w:tc>
        <w:tc>
          <w:tcPr>
            <w:tcW w:w="615" w:type="pct"/>
          </w:tcPr>
          <w:p w14:paraId="7E390ABD" w14:textId="77777777" w:rsidR="00FE39AB" w:rsidRDefault="00FE39AB" w:rsidP="00D74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8BFC9" w14:textId="6D5DF280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829" w:type="pct"/>
            <w:vAlign w:val="center"/>
          </w:tcPr>
          <w:p w14:paraId="2B9282BF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175BE577" w14:textId="77777777" w:rsidTr="00A1599A">
        <w:tc>
          <w:tcPr>
            <w:tcW w:w="636" w:type="pct"/>
            <w:vAlign w:val="center"/>
          </w:tcPr>
          <w:p w14:paraId="7B9F54A3" w14:textId="06D36995" w:rsidR="00FE39AB" w:rsidRDefault="00596FF3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7" w:type="pct"/>
            <w:vAlign w:val="center"/>
          </w:tcPr>
          <w:p w14:paraId="2A7EFC82" w14:textId="6F7888DD" w:rsidR="00FE39AB" w:rsidRPr="00F81D77" w:rsidRDefault="00BC1492" w:rsidP="00BC14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Unidad 4: Procedimiento d</w:t>
            </w:r>
            <w:r w:rsidRPr="00F81D77">
              <w:rPr>
                <w:rFonts w:ascii="Arial" w:hAnsi="Arial" w:cs="Arial"/>
                <w:bCs/>
                <w:sz w:val="16"/>
                <w:szCs w:val="16"/>
              </w:rPr>
              <w:t>e Mediación Abreviado</w:t>
            </w:r>
          </w:p>
        </w:tc>
        <w:tc>
          <w:tcPr>
            <w:tcW w:w="726" w:type="pct"/>
            <w:vAlign w:val="center"/>
          </w:tcPr>
          <w:p w14:paraId="64A9D47A" w14:textId="5CEBD751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83" w:type="pct"/>
            <w:vAlign w:val="center"/>
          </w:tcPr>
          <w:p w14:paraId="62493093" w14:textId="5EB02500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44" w:type="pct"/>
            <w:vAlign w:val="center"/>
          </w:tcPr>
          <w:p w14:paraId="2FE2AAF3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25C508F7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2CD95297" w14:textId="12F5B9A9" w:rsidR="00FE39AB" w:rsidRPr="00F81D77" w:rsidRDefault="00BC7FBB" w:rsidP="00BC7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5" w:type="pct"/>
            <w:vAlign w:val="center"/>
          </w:tcPr>
          <w:p w14:paraId="284246DF" w14:textId="77777777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11A58E97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00533708" w14:textId="77777777" w:rsidTr="00A1599A">
        <w:tc>
          <w:tcPr>
            <w:tcW w:w="636" w:type="pct"/>
            <w:vAlign w:val="center"/>
          </w:tcPr>
          <w:p w14:paraId="301E737E" w14:textId="5689F59E" w:rsidR="00FE39AB" w:rsidRPr="00F81D77" w:rsidRDefault="00596FF3" w:rsidP="005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4B4A87">
              <w:rPr>
                <w:rFonts w:ascii="Arial" w:hAnsi="Arial" w:cs="Arial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7" w:type="pct"/>
            <w:vAlign w:val="center"/>
          </w:tcPr>
          <w:p w14:paraId="1B418683" w14:textId="3F243BCE" w:rsidR="00FE39AB" w:rsidRPr="00F81D77" w:rsidRDefault="00BC1492" w:rsidP="00BC14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Unidad 4: Procedimiento d</w:t>
            </w:r>
            <w:r w:rsidRPr="00F81D77">
              <w:rPr>
                <w:rFonts w:ascii="Arial" w:hAnsi="Arial" w:cs="Arial"/>
                <w:bCs/>
                <w:sz w:val="16"/>
                <w:szCs w:val="16"/>
              </w:rPr>
              <w:t>e Mediación Abreviado</w:t>
            </w:r>
          </w:p>
        </w:tc>
        <w:tc>
          <w:tcPr>
            <w:tcW w:w="726" w:type="pct"/>
            <w:vAlign w:val="center"/>
          </w:tcPr>
          <w:p w14:paraId="74FF7778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4.1 Preparación de la mediación </w:t>
            </w:r>
          </w:p>
          <w:p w14:paraId="3BD20BFC" w14:textId="2041371A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4.2 Procedimiento de la mediación </w:t>
            </w:r>
          </w:p>
        </w:tc>
        <w:tc>
          <w:tcPr>
            <w:tcW w:w="683" w:type="pct"/>
            <w:vAlign w:val="center"/>
          </w:tcPr>
          <w:p w14:paraId="0925A830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Representar una mediación a partir de un caso hipotético</w:t>
            </w:r>
            <w:r>
              <w:rPr>
                <w:rFonts w:ascii="Arial" w:hAnsi="Arial" w:cs="Arial"/>
                <w:sz w:val="16"/>
                <w:szCs w:val="16"/>
              </w:rPr>
              <w:t>, precisando e incentivando, en su caso:</w:t>
            </w:r>
          </w:p>
          <w:p w14:paraId="04B1FADB" w14:textId="22C2715E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3AF146A0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552F4243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04228576" w14:textId="110DF1E3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  <w:tc>
          <w:tcPr>
            <w:tcW w:w="644" w:type="pct"/>
            <w:vAlign w:val="center"/>
          </w:tcPr>
          <w:p w14:paraId="3B66BB36" w14:textId="550EEA50" w:rsidR="00FE39AB" w:rsidRPr="00F81D77" w:rsidRDefault="00BC7FBB" w:rsidP="00BC7F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Aula de clases o Sala de Juicios Orales</w:t>
            </w:r>
          </w:p>
        </w:tc>
        <w:tc>
          <w:tcPr>
            <w:tcW w:w="615" w:type="pct"/>
            <w:vAlign w:val="center"/>
          </w:tcPr>
          <w:p w14:paraId="6F28DB0F" w14:textId="4CA606EF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Actividad 10%</w:t>
            </w:r>
          </w:p>
        </w:tc>
        <w:tc>
          <w:tcPr>
            <w:tcW w:w="829" w:type="pct"/>
            <w:vAlign w:val="center"/>
          </w:tcPr>
          <w:p w14:paraId="2A6DBBF1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4ECFDE5F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1792C9D7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0D68C37E" w14:textId="75560316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</w:tr>
      <w:tr w:rsidR="00FE39AB" w:rsidRPr="00F81D77" w14:paraId="76A204FC" w14:textId="77777777" w:rsidTr="00A1599A">
        <w:tc>
          <w:tcPr>
            <w:tcW w:w="636" w:type="pct"/>
            <w:vAlign w:val="center"/>
          </w:tcPr>
          <w:p w14:paraId="255A3A1E" w14:textId="0D3AF130" w:rsidR="00FE39AB" w:rsidRDefault="003A38B8" w:rsidP="005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96F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7" w:type="pct"/>
            <w:vAlign w:val="center"/>
          </w:tcPr>
          <w:p w14:paraId="11744BCC" w14:textId="13B2AA9D" w:rsidR="00FE39AB" w:rsidRPr="00F81D77" w:rsidRDefault="00BC1492" w:rsidP="00F21E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Unidad 5: Procedimiento d</w:t>
            </w:r>
            <w:r w:rsidRPr="00F81D77">
              <w:rPr>
                <w:rFonts w:ascii="Arial" w:hAnsi="Arial" w:cs="Arial"/>
                <w:bCs/>
                <w:sz w:val="16"/>
                <w:szCs w:val="16"/>
              </w:rPr>
              <w:t>e Arbitraje Abreviado</w:t>
            </w:r>
          </w:p>
        </w:tc>
        <w:tc>
          <w:tcPr>
            <w:tcW w:w="726" w:type="pct"/>
            <w:vAlign w:val="center"/>
          </w:tcPr>
          <w:p w14:paraId="358C7BBF" w14:textId="686E67B4" w:rsidR="00FE39AB" w:rsidRPr="00F81D77" w:rsidRDefault="00FE39AB" w:rsidP="00F21E69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</w:t>
            </w:r>
            <w:r w:rsidR="00F21E6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los subtemas de la unidad</w:t>
            </w:r>
          </w:p>
        </w:tc>
        <w:tc>
          <w:tcPr>
            <w:tcW w:w="683" w:type="pct"/>
            <w:vAlign w:val="center"/>
          </w:tcPr>
          <w:p w14:paraId="69740F6C" w14:textId="69CC4D90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44" w:type="pct"/>
            <w:vAlign w:val="center"/>
          </w:tcPr>
          <w:p w14:paraId="0BBF4F8E" w14:textId="77777777" w:rsidR="00FE39AB" w:rsidRDefault="00FE39AB" w:rsidP="00FE3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DBB1E3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5A44575C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2480958D" w14:textId="0AD8550B" w:rsidR="00FE39AB" w:rsidRPr="00F81D77" w:rsidRDefault="00BC7FBB" w:rsidP="00BC7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5" w:type="pct"/>
            <w:vAlign w:val="center"/>
          </w:tcPr>
          <w:p w14:paraId="73F60A9A" w14:textId="77777777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4101A19E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5C54ADCC" w14:textId="77777777" w:rsidTr="00A1599A">
        <w:tc>
          <w:tcPr>
            <w:tcW w:w="636" w:type="pct"/>
            <w:vAlign w:val="center"/>
          </w:tcPr>
          <w:p w14:paraId="2F05599F" w14:textId="6348F774" w:rsidR="00FE39AB" w:rsidRPr="00F81D77" w:rsidRDefault="003A38B8" w:rsidP="005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96FF3">
              <w:rPr>
                <w:rFonts w:ascii="Arial" w:hAnsi="Arial" w:cs="Arial"/>
                <w:sz w:val="16"/>
                <w:szCs w:val="16"/>
              </w:rPr>
              <w:t>1</w:t>
            </w:r>
            <w:r w:rsidR="004B4A87">
              <w:rPr>
                <w:rFonts w:ascii="Arial" w:hAnsi="Arial" w:cs="Arial"/>
                <w:sz w:val="16"/>
                <w:szCs w:val="16"/>
              </w:rPr>
              <w:t xml:space="preserve"> y 1</w:t>
            </w:r>
            <w:r w:rsidR="00596F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7" w:type="pct"/>
            <w:vAlign w:val="center"/>
          </w:tcPr>
          <w:p w14:paraId="7B4C04FF" w14:textId="6C9D0B33" w:rsidR="00FE39AB" w:rsidRPr="00F81D77" w:rsidRDefault="00BC1492" w:rsidP="00BC14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>Unidad 5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Procedimiento d</w:t>
            </w:r>
            <w:r w:rsidRPr="00F81D77">
              <w:rPr>
                <w:rFonts w:ascii="Arial" w:hAnsi="Arial" w:cs="Arial"/>
                <w:bCs/>
                <w:sz w:val="16"/>
                <w:szCs w:val="16"/>
              </w:rPr>
              <w:t>e Arbitraje Abreviado</w:t>
            </w:r>
          </w:p>
        </w:tc>
        <w:tc>
          <w:tcPr>
            <w:tcW w:w="726" w:type="pct"/>
            <w:vAlign w:val="center"/>
          </w:tcPr>
          <w:p w14:paraId="0337F4CD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5.1 Inicio del arbitraje </w:t>
            </w:r>
          </w:p>
          <w:p w14:paraId="14B70875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5.2 Contestación de la demanda </w:t>
            </w:r>
          </w:p>
          <w:p w14:paraId="4CCC3BE2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5.3 Nombramiento o designación del tribunal arbitral </w:t>
            </w:r>
          </w:p>
          <w:p w14:paraId="5222339A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5.4 Procedimiento arbitral </w:t>
            </w:r>
          </w:p>
          <w:p w14:paraId="0522875F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5.5 Acta de misión </w:t>
            </w:r>
          </w:p>
          <w:p w14:paraId="18AFF49F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5.6 Instrucción de la causa </w:t>
            </w:r>
          </w:p>
          <w:p w14:paraId="31483893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5.7 Audiencias </w:t>
            </w:r>
          </w:p>
          <w:p w14:paraId="3AAF3DD0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5.8 Cierre de </w:t>
            </w:r>
            <w:r w:rsidRPr="00F81D77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instrucción </w:t>
            </w:r>
          </w:p>
          <w:p w14:paraId="6FE3294E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5.9 Laudo </w:t>
            </w:r>
          </w:p>
          <w:p w14:paraId="2E689B7B" w14:textId="30028601" w:rsidR="00FE39AB" w:rsidRPr="00F81D77" w:rsidRDefault="00FE39AB" w:rsidP="00F81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>5.10 Notificación del laudo</w:t>
            </w:r>
          </w:p>
        </w:tc>
        <w:tc>
          <w:tcPr>
            <w:tcW w:w="683" w:type="pct"/>
            <w:vAlign w:val="center"/>
          </w:tcPr>
          <w:p w14:paraId="6B68BE3C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lastRenderedPageBreak/>
              <w:t>Representar un arbitraje a partir de un caso hipotético</w:t>
            </w:r>
            <w:r>
              <w:rPr>
                <w:rFonts w:ascii="Arial" w:hAnsi="Arial" w:cs="Arial"/>
                <w:sz w:val="16"/>
                <w:szCs w:val="16"/>
              </w:rPr>
              <w:t>, precisando e incentivando, en su caso:</w:t>
            </w:r>
          </w:p>
          <w:p w14:paraId="2C56E7D4" w14:textId="15910101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1D087660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68B209DA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7E21866F" w14:textId="1130ED41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  <w:tc>
          <w:tcPr>
            <w:tcW w:w="644" w:type="pct"/>
            <w:vAlign w:val="center"/>
          </w:tcPr>
          <w:p w14:paraId="672F5ED6" w14:textId="074DF214" w:rsidR="00FE39AB" w:rsidRPr="00F81D77" w:rsidRDefault="00BC7FBB" w:rsidP="00BC7F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Aula de clases o Sala de Juicios Orales</w:t>
            </w:r>
          </w:p>
        </w:tc>
        <w:tc>
          <w:tcPr>
            <w:tcW w:w="615" w:type="pct"/>
            <w:vAlign w:val="center"/>
          </w:tcPr>
          <w:p w14:paraId="1F56242A" w14:textId="1864E9D3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Actividad 10%</w:t>
            </w:r>
          </w:p>
        </w:tc>
        <w:tc>
          <w:tcPr>
            <w:tcW w:w="829" w:type="pct"/>
            <w:vAlign w:val="center"/>
          </w:tcPr>
          <w:p w14:paraId="7FC155DB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37079DEF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3A42988A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46B632BA" w14:textId="27E2C13F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</w:tr>
      <w:tr w:rsidR="004B4A87" w:rsidRPr="00F81D77" w14:paraId="191EF2CB" w14:textId="77777777" w:rsidTr="00A1599A">
        <w:tc>
          <w:tcPr>
            <w:tcW w:w="636" w:type="pct"/>
            <w:vAlign w:val="center"/>
          </w:tcPr>
          <w:p w14:paraId="780FFDE8" w14:textId="12911370" w:rsidR="004B4A87" w:rsidRDefault="004B4A87" w:rsidP="005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96F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7" w:type="pct"/>
            <w:vAlign w:val="center"/>
          </w:tcPr>
          <w:p w14:paraId="188CB235" w14:textId="06FE2221" w:rsidR="004B4A87" w:rsidRPr="00F81D77" w:rsidRDefault="00BC1492" w:rsidP="004B4A87">
            <w:pPr>
              <w:pStyle w:val="Textocomentari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6: Mecanismos Alternativos d</w:t>
            </w:r>
            <w:r w:rsidRPr="004B4A87">
              <w:rPr>
                <w:rFonts w:ascii="Arial" w:hAnsi="Arial" w:cs="Arial"/>
                <w:sz w:val="16"/>
                <w:szCs w:val="16"/>
              </w:rPr>
              <w:t>e Solución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Controversias e</w:t>
            </w:r>
            <w:r w:rsidRPr="004B4A87">
              <w:rPr>
                <w:rFonts w:ascii="Arial" w:hAnsi="Arial" w:cs="Arial"/>
                <w:sz w:val="16"/>
                <w:szCs w:val="16"/>
              </w:rPr>
              <w:t>n Materia Penal</w:t>
            </w:r>
          </w:p>
        </w:tc>
        <w:tc>
          <w:tcPr>
            <w:tcW w:w="726" w:type="pct"/>
            <w:vAlign w:val="center"/>
          </w:tcPr>
          <w:p w14:paraId="689D57B8" w14:textId="3730B26D" w:rsidR="004B4A87" w:rsidRPr="00F81D77" w:rsidRDefault="004B4A87" w:rsidP="004B4A8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83" w:type="pct"/>
            <w:vAlign w:val="center"/>
          </w:tcPr>
          <w:p w14:paraId="773B1E15" w14:textId="6239C7FA" w:rsidR="004B4A87" w:rsidRPr="00F81D77" w:rsidRDefault="004B4A87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44" w:type="pct"/>
            <w:vAlign w:val="center"/>
          </w:tcPr>
          <w:p w14:paraId="5DB9AD7E" w14:textId="77777777" w:rsidR="004B4A87" w:rsidRDefault="004B4A87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2FA53E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5CE3088C" w14:textId="77777777" w:rsidR="00BC7FBB" w:rsidRDefault="00BC7FBB" w:rsidP="00BC7FBB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31FE0F94" w14:textId="0CCBD893" w:rsidR="004B4A87" w:rsidRPr="00F81D77" w:rsidRDefault="00BC7FBB" w:rsidP="00BC7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5" w:type="pct"/>
            <w:vAlign w:val="center"/>
          </w:tcPr>
          <w:p w14:paraId="7AA875A8" w14:textId="77777777" w:rsidR="004B4A87" w:rsidRPr="00F81D77" w:rsidRDefault="004B4A87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2BB6A684" w14:textId="77777777" w:rsidR="004B4A87" w:rsidRDefault="004B4A87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8B8" w:rsidRPr="00F81D77" w14:paraId="5EF6DB2C" w14:textId="77777777" w:rsidTr="00A1599A">
        <w:tc>
          <w:tcPr>
            <w:tcW w:w="636" w:type="pct"/>
            <w:vAlign w:val="center"/>
          </w:tcPr>
          <w:p w14:paraId="0B784859" w14:textId="32CF4C09" w:rsidR="003A38B8" w:rsidRDefault="003A38B8" w:rsidP="005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96F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20" w:type="pct"/>
            <w:gridSpan w:val="4"/>
            <w:vAlign w:val="center"/>
          </w:tcPr>
          <w:p w14:paraId="3B288425" w14:textId="0B999388" w:rsidR="003A38B8" w:rsidRPr="00F81D77" w:rsidRDefault="00BC1492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Examen Departamental</w:t>
            </w:r>
          </w:p>
        </w:tc>
        <w:tc>
          <w:tcPr>
            <w:tcW w:w="615" w:type="pct"/>
          </w:tcPr>
          <w:p w14:paraId="3C8B2342" w14:textId="77777777" w:rsidR="003A38B8" w:rsidRDefault="003A38B8" w:rsidP="00D74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37F843" w14:textId="77777777" w:rsidR="003A38B8" w:rsidRDefault="003A38B8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  <w:p w14:paraId="1C626259" w14:textId="40D4624F" w:rsidR="003A38B8" w:rsidRPr="00F81D77" w:rsidRDefault="003A38B8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0563C12F" w14:textId="77777777" w:rsidR="003A38B8" w:rsidRDefault="003A38B8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8B8" w:rsidRPr="00F81D77" w14:paraId="5DBE531C" w14:textId="77777777" w:rsidTr="00A1599A">
        <w:tc>
          <w:tcPr>
            <w:tcW w:w="636" w:type="pct"/>
            <w:vAlign w:val="center"/>
          </w:tcPr>
          <w:p w14:paraId="785E0063" w14:textId="77777777" w:rsidR="00E6314C" w:rsidRDefault="00E6314C" w:rsidP="003A3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3228B" w14:textId="2A63081E" w:rsidR="003A38B8" w:rsidRDefault="00596FF3" w:rsidP="00596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y 16</w:t>
            </w:r>
          </w:p>
        </w:tc>
        <w:tc>
          <w:tcPr>
            <w:tcW w:w="2920" w:type="pct"/>
            <w:gridSpan w:val="4"/>
            <w:vAlign w:val="center"/>
          </w:tcPr>
          <w:p w14:paraId="4941C1C9" w14:textId="77777777" w:rsidR="00E6314C" w:rsidRDefault="00E6314C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F77402" w14:textId="2D0DB6DE" w:rsidR="003A38B8" w:rsidRPr="00F81D77" w:rsidRDefault="00BC1492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de Producto Final</w:t>
            </w:r>
          </w:p>
        </w:tc>
        <w:tc>
          <w:tcPr>
            <w:tcW w:w="615" w:type="pct"/>
          </w:tcPr>
          <w:p w14:paraId="7AB4248B" w14:textId="77777777" w:rsidR="00E6314C" w:rsidRDefault="00E6314C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3BE88D" w14:textId="77777777" w:rsidR="003A38B8" w:rsidRDefault="003A38B8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  <w:p w14:paraId="092A483F" w14:textId="7B386998" w:rsidR="003A38B8" w:rsidRPr="00F81D77" w:rsidRDefault="003A38B8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3622525C" w14:textId="77777777" w:rsidR="003A38B8" w:rsidRDefault="003A38B8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16EF0C" w14:textId="172C12ED" w:rsidR="005F114A" w:rsidRPr="00EB31AF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4E339E0B" w14:textId="6962B671" w:rsidR="00E12B03" w:rsidRPr="00EB31AF" w:rsidRDefault="00E12B03" w:rsidP="00E12B03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Perfil del 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12B03" w:rsidRPr="00EB31AF" w14:paraId="73879B1F" w14:textId="77777777" w:rsidTr="00B40B80">
        <w:tc>
          <w:tcPr>
            <w:tcW w:w="10031" w:type="dxa"/>
          </w:tcPr>
          <w:p w14:paraId="622F25BE" w14:textId="18F15308" w:rsidR="00B40B80" w:rsidRPr="00A23AE4" w:rsidRDefault="00B40B80" w:rsidP="00A51ECA">
            <w:pPr>
              <w:rPr>
                <w:rFonts w:ascii="Arial" w:hAnsi="Arial" w:cs="Arial"/>
                <w:sz w:val="18"/>
                <w:szCs w:val="18"/>
              </w:rPr>
            </w:pPr>
            <w:r w:rsidRPr="00A23AE4">
              <w:rPr>
                <w:rFonts w:ascii="Arial" w:hAnsi="Arial" w:cs="Arial"/>
                <w:sz w:val="18"/>
                <w:szCs w:val="18"/>
              </w:rPr>
              <w:t>Poseer Título Profe</w:t>
            </w:r>
            <w:r w:rsidR="00401524">
              <w:rPr>
                <w:rFonts w:ascii="Arial" w:hAnsi="Arial" w:cs="Arial"/>
                <w:sz w:val="18"/>
                <w:szCs w:val="18"/>
              </w:rPr>
              <w:t>sional de Licenciado en Derecho o Abogado.</w:t>
            </w:r>
          </w:p>
          <w:p w14:paraId="547DA74A" w14:textId="1DC5FB15" w:rsidR="00E12B03" w:rsidRPr="00EB31AF" w:rsidRDefault="00A51ECA" w:rsidP="00344F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AE4">
              <w:rPr>
                <w:rFonts w:ascii="Arial" w:hAnsi="Arial" w:cs="Arial"/>
                <w:sz w:val="18"/>
                <w:szCs w:val="18"/>
              </w:rPr>
              <w:t>Así mismo, que cuente con la experiencia necesaria en el campo de</w:t>
            </w:r>
            <w:r w:rsidR="00344FC8" w:rsidRPr="00A23AE4">
              <w:rPr>
                <w:rFonts w:ascii="Arial" w:hAnsi="Arial" w:cs="Arial"/>
                <w:sz w:val="18"/>
                <w:szCs w:val="18"/>
              </w:rPr>
              <w:t xml:space="preserve"> Mecanismos Alternos de Solución de Conflictos.</w:t>
            </w:r>
          </w:p>
        </w:tc>
      </w:tr>
    </w:tbl>
    <w:p w14:paraId="5F29D418" w14:textId="77777777" w:rsidR="00E12B03" w:rsidRPr="00EB31AF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EB31AF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DEC83" w14:textId="77777777" w:rsidR="001F6C4F" w:rsidRDefault="001F6C4F">
      <w:r>
        <w:separator/>
      </w:r>
    </w:p>
  </w:endnote>
  <w:endnote w:type="continuationSeparator" w:id="0">
    <w:p w14:paraId="221F2890" w14:textId="77777777" w:rsidR="001F6C4F" w:rsidRDefault="001F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49076E61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27F64" w:rsidRPr="00227F64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y1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c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C/3Jy1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4349BA" w14:textId="49076E61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27F64" w:rsidRPr="00227F64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6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52F9" w14:textId="77777777" w:rsidR="001F6C4F" w:rsidRDefault="001F6C4F">
      <w:r>
        <w:separator/>
      </w:r>
    </w:p>
  </w:footnote>
  <w:footnote w:type="continuationSeparator" w:id="0">
    <w:p w14:paraId="4A8E292C" w14:textId="77777777" w:rsidR="001F6C4F" w:rsidRDefault="001F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4A8" w14:textId="77777777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326CAB93" w14:textId="35C50F87" w:rsidR="003B0180" w:rsidRPr="0033268C" w:rsidRDefault="00490699" w:rsidP="003B0180">
    <w:pPr>
      <w:rPr>
        <w:rFonts w:ascii="Arial" w:hAnsi="Arial" w:cs="Arial"/>
        <w:b/>
        <w:sz w:val="18"/>
        <w:szCs w:val="18"/>
      </w:rPr>
    </w:pPr>
    <w:r>
      <w:rPr>
        <w:rFonts w:ascii="Constantia" w:hAnsi="Constantia"/>
        <w:sz w:val="32"/>
        <w:szCs w:val="32"/>
      </w:rPr>
      <w:t xml:space="preserve">                </w:t>
    </w:r>
    <w:r w:rsidR="003B0180" w:rsidRPr="00880EEB">
      <w:rPr>
        <w:rFonts w:ascii="Constantia" w:hAnsi="Constantia"/>
        <w:sz w:val="28"/>
        <w:szCs w:val="32"/>
      </w:rPr>
      <w:t>Abogado</w:t>
    </w:r>
    <w:r w:rsidR="003B0180">
      <w:rPr>
        <w:rFonts w:ascii="Constantia" w:hAnsi="Constantia"/>
        <w:sz w:val="28"/>
        <w:szCs w:val="32"/>
      </w:rPr>
      <w:t xml:space="preserve"> </w:t>
    </w:r>
    <w:r w:rsidR="003B0180" w:rsidRPr="00A85341">
      <w:rPr>
        <w:rFonts w:ascii="Constantia" w:hAnsi="Constantia"/>
        <w:sz w:val="32"/>
        <w:szCs w:val="32"/>
      </w:rPr>
      <w:t xml:space="preserve"> </w:t>
    </w:r>
    <w:r w:rsidR="003B0180">
      <w:rPr>
        <w:rFonts w:ascii="Constantia" w:hAnsi="Constantia"/>
        <w:sz w:val="28"/>
        <w:szCs w:val="32"/>
      </w:rPr>
      <w:t xml:space="preserve"> </w:t>
    </w:r>
    <w:r w:rsidR="003B0180" w:rsidRPr="00A85341">
      <w:rPr>
        <w:rFonts w:ascii="Constantia" w:hAnsi="Constantia"/>
        <w:sz w:val="32"/>
        <w:szCs w:val="32"/>
      </w:rPr>
      <w:t xml:space="preserve"> </w:t>
    </w:r>
  </w:p>
  <w:p w14:paraId="714A9398" w14:textId="73417D31" w:rsidR="00490699" w:rsidRPr="00A85341" w:rsidRDefault="00490699">
    <w:pPr>
      <w:pStyle w:val="Encabezado"/>
      <w:rPr>
        <w:rFonts w:ascii="Constantia" w:hAnsi="Constant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4B3359"/>
    <w:multiLevelType w:val="hybridMultilevel"/>
    <w:tmpl w:val="57A8470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2EDE"/>
    <w:multiLevelType w:val="hybridMultilevel"/>
    <w:tmpl w:val="5230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258E4"/>
    <w:multiLevelType w:val="hybridMultilevel"/>
    <w:tmpl w:val="EE886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639BA"/>
    <w:multiLevelType w:val="hybridMultilevel"/>
    <w:tmpl w:val="A8B0E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6"/>
  </w:num>
  <w:num w:numId="5">
    <w:abstractNumId w:val="2"/>
  </w:num>
  <w:num w:numId="6">
    <w:abstractNumId w:val="18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22"/>
  </w:num>
  <w:num w:numId="22">
    <w:abstractNumId w:val="15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8"/>
    <w:rsid w:val="0000048B"/>
    <w:rsid w:val="000024D5"/>
    <w:rsid w:val="00011497"/>
    <w:rsid w:val="00015DBA"/>
    <w:rsid w:val="00020440"/>
    <w:rsid w:val="00020E75"/>
    <w:rsid w:val="00021837"/>
    <w:rsid w:val="00026F02"/>
    <w:rsid w:val="000345DF"/>
    <w:rsid w:val="000367CD"/>
    <w:rsid w:val="00037807"/>
    <w:rsid w:val="0004030D"/>
    <w:rsid w:val="0004206C"/>
    <w:rsid w:val="0004452A"/>
    <w:rsid w:val="000522FC"/>
    <w:rsid w:val="0005280D"/>
    <w:rsid w:val="00054996"/>
    <w:rsid w:val="00055215"/>
    <w:rsid w:val="0005586C"/>
    <w:rsid w:val="00061C44"/>
    <w:rsid w:val="00062FEA"/>
    <w:rsid w:val="00063F6C"/>
    <w:rsid w:val="00064186"/>
    <w:rsid w:val="00072DFF"/>
    <w:rsid w:val="00074161"/>
    <w:rsid w:val="000817CC"/>
    <w:rsid w:val="00086BF4"/>
    <w:rsid w:val="00090592"/>
    <w:rsid w:val="00091563"/>
    <w:rsid w:val="000957FD"/>
    <w:rsid w:val="000963F4"/>
    <w:rsid w:val="000A6727"/>
    <w:rsid w:val="000B0B08"/>
    <w:rsid w:val="000B1108"/>
    <w:rsid w:val="000B12AC"/>
    <w:rsid w:val="000B2AE3"/>
    <w:rsid w:val="000B43CC"/>
    <w:rsid w:val="000B45D3"/>
    <w:rsid w:val="000C0FDE"/>
    <w:rsid w:val="000C39A7"/>
    <w:rsid w:val="000C51A6"/>
    <w:rsid w:val="000C6E0A"/>
    <w:rsid w:val="000D18E1"/>
    <w:rsid w:val="000D462F"/>
    <w:rsid w:val="000D7A03"/>
    <w:rsid w:val="000E3CCB"/>
    <w:rsid w:val="000E42AC"/>
    <w:rsid w:val="000F279A"/>
    <w:rsid w:val="000F456F"/>
    <w:rsid w:val="000F60F2"/>
    <w:rsid w:val="00107B29"/>
    <w:rsid w:val="00114430"/>
    <w:rsid w:val="001153BF"/>
    <w:rsid w:val="00117FE7"/>
    <w:rsid w:val="00131ADA"/>
    <w:rsid w:val="00135A6A"/>
    <w:rsid w:val="00136B48"/>
    <w:rsid w:val="00140216"/>
    <w:rsid w:val="00140B59"/>
    <w:rsid w:val="00143223"/>
    <w:rsid w:val="00145011"/>
    <w:rsid w:val="001461E5"/>
    <w:rsid w:val="00146F14"/>
    <w:rsid w:val="00147A3D"/>
    <w:rsid w:val="00154C67"/>
    <w:rsid w:val="00170468"/>
    <w:rsid w:val="00175F85"/>
    <w:rsid w:val="00177473"/>
    <w:rsid w:val="00180885"/>
    <w:rsid w:val="00181842"/>
    <w:rsid w:val="00182B66"/>
    <w:rsid w:val="00190494"/>
    <w:rsid w:val="00192702"/>
    <w:rsid w:val="0019509C"/>
    <w:rsid w:val="001A0A5B"/>
    <w:rsid w:val="001A2156"/>
    <w:rsid w:val="001A3DF0"/>
    <w:rsid w:val="001A698E"/>
    <w:rsid w:val="001B0BE4"/>
    <w:rsid w:val="001B443C"/>
    <w:rsid w:val="001B54C0"/>
    <w:rsid w:val="001B595F"/>
    <w:rsid w:val="001B6962"/>
    <w:rsid w:val="001C3DC6"/>
    <w:rsid w:val="001C5364"/>
    <w:rsid w:val="001C58D8"/>
    <w:rsid w:val="001C67C2"/>
    <w:rsid w:val="001C6AE5"/>
    <w:rsid w:val="001C7A14"/>
    <w:rsid w:val="001D4104"/>
    <w:rsid w:val="001E33B3"/>
    <w:rsid w:val="001E3B00"/>
    <w:rsid w:val="001E4B17"/>
    <w:rsid w:val="001E544F"/>
    <w:rsid w:val="001F176C"/>
    <w:rsid w:val="001F6C4F"/>
    <w:rsid w:val="001F7F63"/>
    <w:rsid w:val="00203702"/>
    <w:rsid w:val="00217138"/>
    <w:rsid w:val="002227BF"/>
    <w:rsid w:val="002228D3"/>
    <w:rsid w:val="00226F7A"/>
    <w:rsid w:val="00227A05"/>
    <w:rsid w:val="00227F64"/>
    <w:rsid w:val="0023365C"/>
    <w:rsid w:val="0026297B"/>
    <w:rsid w:val="00272E6D"/>
    <w:rsid w:val="00273766"/>
    <w:rsid w:val="0027600F"/>
    <w:rsid w:val="00276130"/>
    <w:rsid w:val="00277123"/>
    <w:rsid w:val="002808F8"/>
    <w:rsid w:val="00280D37"/>
    <w:rsid w:val="00283357"/>
    <w:rsid w:val="002850B8"/>
    <w:rsid w:val="002B5623"/>
    <w:rsid w:val="002B7023"/>
    <w:rsid w:val="002C33EB"/>
    <w:rsid w:val="002D1554"/>
    <w:rsid w:val="002D2E94"/>
    <w:rsid w:val="002D34FC"/>
    <w:rsid w:val="002E3722"/>
    <w:rsid w:val="002E74E1"/>
    <w:rsid w:val="00300483"/>
    <w:rsid w:val="003005C6"/>
    <w:rsid w:val="0030548A"/>
    <w:rsid w:val="00310FBE"/>
    <w:rsid w:val="0031310A"/>
    <w:rsid w:val="0031564B"/>
    <w:rsid w:val="00317437"/>
    <w:rsid w:val="00320D13"/>
    <w:rsid w:val="00323328"/>
    <w:rsid w:val="00323814"/>
    <w:rsid w:val="00323CA1"/>
    <w:rsid w:val="00327D13"/>
    <w:rsid w:val="0033204D"/>
    <w:rsid w:val="0033268C"/>
    <w:rsid w:val="00332843"/>
    <w:rsid w:val="0033433E"/>
    <w:rsid w:val="00343142"/>
    <w:rsid w:val="00344FC8"/>
    <w:rsid w:val="003501DC"/>
    <w:rsid w:val="00350604"/>
    <w:rsid w:val="00350C3B"/>
    <w:rsid w:val="00354496"/>
    <w:rsid w:val="00357DA8"/>
    <w:rsid w:val="00366E21"/>
    <w:rsid w:val="003707B6"/>
    <w:rsid w:val="00372E89"/>
    <w:rsid w:val="00374C17"/>
    <w:rsid w:val="003775A4"/>
    <w:rsid w:val="00380530"/>
    <w:rsid w:val="003903E2"/>
    <w:rsid w:val="0039191F"/>
    <w:rsid w:val="00394502"/>
    <w:rsid w:val="00394830"/>
    <w:rsid w:val="003976FC"/>
    <w:rsid w:val="0039789C"/>
    <w:rsid w:val="003A3744"/>
    <w:rsid w:val="003A38B8"/>
    <w:rsid w:val="003B0180"/>
    <w:rsid w:val="003B0244"/>
    <w:rsid w:val="003B1ED8"/>
    <w:rsid w:val="003B38CE"/>
    <w:rsid w:val="003C1DE2"/>
    <w:rsid w:val="003C2BF0"/>
    <w:rsid w:val="003C35FE"/>
    <w:rsid w:val="003E2AFA"/>
    <w:rsid w:val="003F1CBC"/>
    <w:rsid w:val="003F1E80"/>
    <w:rsid w:val="003F4244"/>
    <w:rsid w:val="00401524"/>
    <w:rsid w:val="0040171F"/>
    <w:rsid w:val="00413CC4"/>
    <w:rsid w:val="00431824"/>
    <w:rsid w:val="00431B70"/>
    <w:rsid w:val="00437802"/>
    <w:rsid w:val="004421B7"/>
    <w:rsid w:val="004474CD"/>
    <w:rsid w:val="004609D2"/>
    <w:rsid w:val="00463097"/>
    <w:rsid w:val="00463909"/>
    <w:rsid w:val="0047323E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9B0"/>
    <w:rsid w:val="004A0D8F"/>
    <w:rsid w:val="004A280E"/>
    <w:rsid w:val="004A3F48"/>
    <w:rsid w:val="004B4A87"/>
    <w:rsid w:val="004B7711"/>
    <w:rsid w:val="004C10D0"/>
    <w:rsid w:val="004C3ECB"/>
    <w:rsid w:val="004D0FF6"/>
    <w:rsid w:val="004D6962"/>
    <w:rsid w:val="004D7B37"/>
    <w:rsid w:val="004E1E7A"/>
    <w:rsid w:val="004E4917"/>
    <w:rsid w:val="004F4FB7"/>
    <w:rsid w:val="004F6C6B"/>
    <w:rsid w:val="004F7C97"/>
    <w:rsid w:val="005058B4"/>
    <w:rsid w:val="00514BC9"/>
    <w:rsid w:val="0051724D"/>
    <w:rsid w:val="00517C0C"/>
    <w:rsid w:val="005241AD"/>
    <w:rsid w:val="00527C86"/>
    <w:rsid w:val="00531DE9"/>
    <w:rsid w:val="0053511B"/>
    <w:rsid w:val="005367F2"/>
    <w:rsid w:val="00541017"/>
    <w:rsid w:val="0054125C"/>
    <w:rsid w:val="00556252"/>
    <w:rsid w:val="005573DE"/>
    <w:rsid w:val="005656F1"/>
    <w:rsid w:val="00572446"/>
    <w:rsid w:val="00576D55"/>
    <w:rsid w:val="00592AFD"/>
    <w:rsid w:val="00594981"/>
    <w:rsid w:val="00596FF3"/>
    <w:rsid w:val="005A1C78"/>
    <w:rsid w:val="005B23ED"/>
    <w:rsid w:val="005C41F3"/>
    <w:rsid w:val="005D39C2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16172"/>
    <w:rsid w:val="006235B5"/>
    <w:rsid w:val="00624491"/>
    <w:rsid w:val="006340D8"/>
    <w:rsid w:val="00636287"/>
    <w:rsid w:val="0065501C"/>
    <w:rsid w:val="00655E7D"/>
    <w:rsid w:val="0066153E"/>
    <w:rsid w:val="00661731"/>
    <w:rsid w:val="00662822"/>
    <w:rsid w:val="006724CF"/>
    <w:rsid w:val="00672861"/>
    <w:rsid w:val="00681DA0"/>
    <w:rsid w:val="006823FD"/>
    <w:rsid w:val="00687875"/>
    <w:rsid w:val="0069399C"/>
    <w:rsid w:val="00695DE9"/>
    <w:rsid w:val="006A1A16"/>
    <w:rsid w:val="006A3345"/>
    <w:rsid w:val="006A3753"/>
    <w:rsid w:val="006A605E"/>
    <w:rsid w:val="006A6309"/>
    <w:rsid w:val="006B05A0"/>
    <w:rsid w:val="006B364B"/>
    <w:rsid w:val="006B4945"/>
    <w:rsid w:val="006B6E17"/>
    <w:rsid w:val="006B7C2C"/>
    <w:rsid w:val="006C020C"/>
    <w:rsid w:val="006C19E9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3157C"/>
    <w:rsid w:val="0073796D"/>
    <w:rsid w:val="00737ED0"/>
    <w:rsid w:val="0074244C"/>
    <w:rsid w:val="007443A8"/>
    <w:rsid w:val="00746D5F"/>
    <w:rsid w:val="00750F3B"/>
    <w:rsid w:val="007520AE"/>
    <w:rsid w:val="00756D02"/>
    <w:rsid w:val="00761744"/>
    <w:rsid w:val="00763360"/>
    <w:rsid w:val="0076562C"/>
    <w:rsid w:val="007802F6"/>
    <w:rsid w:val="00794078"/>
    <w:rsid w:val="00795C4B"/>
    <w:rsid w:val="007A1A1C"/>
    <w:rsid w:val="007A3FBC"/>
    <w:rsid w:val="007A43BF"/>
    <w:rsid w:val="007A4DBE"/>
    <w:rsid w:val="007B149D"/>
    <w:rsid w:val="007C7C9D"/>
    <w:rsid w:val="007C7F88"/>
    <w:rsid w:val="007D1E4C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2BB1"/>
    <w:rsid w:val="00803455"/>
    <w:rsid w:val="00806EF5"/>
    <w:rsid w:val="00810760"/>
    <w:rsid w:val="008120CF"/>
    <w:rsid w:val="0081320D"/>
    <w:rsid w:val="00820117"/>
    <w:rsid w:val="00841358"/>
    <w:rsid w:val="00844CDE"/>
    <w:rsid w:val="00850EA9"/>
    <w:rsid w:val="0085124D"/>
    <w:rsid w:val="00853AA9"/>
    <w:rsid w:val="0085443E"/>
    <w:rsid w:val="008602DB"/>
    <w:rsid w:val="00860C16"/>
    <w:rsid w:val="00861CC1"/>
    <w:rsid w:val="00863AA3"/>
    <w:rsid w:val="0086580D"/>
    <w:rsid w:val="00867F44"/>
    <w:rsid w:val="008731A5"/>
    <w:rsid w:val="00884950"/>
    <w:rsid w:val="008860C8"/>
    <w:rsid w:val="00887C30"/>
    <w:rsid w:val="0089385D"/>
    <w:rsid w:val="00894551"/>
    <w:rsid w:val="008965E5"/>
    <w:rsid w:val="008A04A4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460C"/>
    <w:rsid w:val="008D5E69"/>
    <w:rsid w:val="008D6889"/>
    <w:rsid w:val="008D7146"/>
    <w:rsid w:val="008E1AF2"/>
    <w:rsid w:val="008E3624"/>
    <w:rsid w:val="008F02F7"/>
    <w:rsid w:val="008F19EF"/>
    <w:rsid w:val="008F1B88"/>
    <w:rsid w:val="00903475"/>
    <w:rsid w:val="00907A83"/>
    <w:rsid w:val="00911025"/>
    <w:rsid w:val="0091231F"/>
    <w:rsid w:val="00913127"/>
    <w:rsid w:val="0091328A"/>
    <w:rsid w:val="00915353"/>
    <w:rsid w:val="00915A61"/>
    <w:rsid w:val="00917F1E"/>
    <w:rsid w:val="00930455"/>
    <w:rsid w:val="00935446"/>
    <w:rsid w:val="009363B3"/>
    <w:rsid w:val="0094014F"/>
    <w:rsid w:val="00942026"/>
    <w:rsid w:val="00942CA3"/>
    <w:rsid w:val="00943070"/>
    <w:rsid w:val="00944CB8"/>
    <w:rsid w:val="00946007"/>
    <w:rsid w:val="00950035"/>
    <w:rsid w:val="00954ECB"/>
    <w:rsid w:val="00957C90"/>
    <w:rsid w:val="00957F64"/>
    <w:rsid w:val="0096253F"/>
    <w:rsid w:val="009652D5"/>
    <w:rsid w:val="009707A0"/>
    <w:rsid w:val="009739D8"/>
    <w:rsid w:val="00986341"/>
    <w:rsid w:val="00990E68"/>
    <w:rsid w:val="00993829"/>
    <w:rsid w:val="009942A4"/>
    <w:rsid w:val="009A14AC"/>
    <w:rsid w:val="009A1B4D"/>
    <w:rsid w:val="009A2942"/>
    <w:rsid w:val="009A546F"/>
    <w:rsid w:val="009A5C0D"/>
    <w:rsid w:val="009A7855"/>
    <w:rsid w:val="009B14CC"/>
    <w:rsid w:val="009B3CB2"/>
    <w:rsid w:val="009B50B4"/>
    <w:rsid w:val="009B593B"/>
    <w:rsid w:val="009C7EEC"/>
    <w:rsid w:val="009D5ADA"/>
    <w:rsid w:val="009E299C"/>
    <w:rsid w:val="009E7181"/>
    <w:rsid w:val="009F20BC"/>
    <w:rsid w:val="00A03AAE"/>
    <w:rsid w:val="00A06849"/>
    <w:rsid w:val="00A10CE5"/>
    <w:rsid w:val="00A1589D"/>
    <w:rsid w:val="00A1599A"/>
    <w:rsid w:val="00A174EC"/>
    <w:rsid w:val="00A20599"/>
    <w:rsid w:val="00A22F6A"/>
    <w:rsid w:val="00A23AE4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1ECA"/>
    <w:rsid w:val="00A52EA9"/>
    <w:rsid w:val="00A53836"/>
    <w:rsid w:val="00A56548"/>
    <w:rsid w:val="00A60655"/>
    <w:rsid w:val="00A61032"/>
    <w:rsid w:val="00A671F7"/>
    <w:rsid w:val="00A71A54"/>
    <w:rsid w:val="00A73909"/>
    <w:rsid w:val="00A7677E"/>
    <w:rsid w:val="00A85341"/>
    <w:rsid w:val="00A87B28"/>
    <w:rsid w:val="00A900EA"/>
    <w:rsid w:val="00A9345E"/>
    <w:rsid w:val="00A95283"/>
    <w:rsid w:val="00AB3F0F"/>
    <w:rsid w:val="00AB4713"/>
    <w:rsid w:val="00AC2AE0"/>
    <w:rsid w:val="00AC4095"/>
    <w:rsid w:val="00AD2256"/>
    <w:rsid w:val="00AD3622"/>
    <w:rsid w:val="00AD57A1"/>
    <w:rsid w:val="00AE21D2"/>
    <w:rsid w:val="00AE22A8"/>
    <w:rsid w:val="00AE530A"/>
    <w:rsid w:val="00AF7784"/>
    <w:rsid w:val="00B0351B"/>
    <w:rsid w:val="00B042E5"/>
    <w:rsid w:val="00B055AC"/>
    <w:rsid w:val="00B125FD"/>
    <w:rsid w:val="00B15D16"/>
    <w:rsid w:val="00B16F7B"/>
    <w:rsid w:val="00B2051C"/>
    <w:rsid w:val="00B221B0"/>
    <w:rsid w:val="00B22BA9"/>
    <w:rsid w:val="00B237D6"/>
    <w:rsid w:val="00B238CF"/>
    <w:rsid w:val="00B40B80"/>
    <w:rsid w:val="00B411AC"/>
    <w:rsid w:val="00B4328A"/>
    <w:rsid w:val="00B45742"/>
    <w:rsid w:val="00B514E4"/>
    <w:rsid w:val="00B52D23"/>
    <w:rsid w:val="00B61C81"/>
    <w:rsid w:val="00B621A9"/>
    <w:rsid w:val="00B62D98"/>
    <w:rsid w:val="00B65195"/>
    <w:rsid w:val="00B672C5"/>
    <w:rsid w:val="00B72A65"/>
    <w:rsid w:val="00B73A0D"/>
    <w:rsid w:val="00B75E41"/>
    <w:rsid w:val="00B80F0C"/>
    <w:rsid w:val="00B85BF1"/>
    <w:rsid w:val="00B87021"/>
    <w:rsid w:val="00B871D6"/>
    <w:rsid w:val="00B87E2C"/>
    <w:rsid w:val="00B97F2B"/>
    <w:rsid w:val="00BA4B27"/>
    <w:rsid w:val="00BA7A95"/>
    <w:rsid w:val="00BB08C9"/>
    <w:rsid w:val="00BB2113"/>
    <w:rsid w:val="00BB785B"/>
    <w:rsid w:val="00BC1492"/>
    <w:rsid w:val="00BC58D2"/>
    <w:rsid w:val="00BC7FBB"/>
    <w:rsid w:val="00BD07E0"/>
    <w:rsid w:val="00BD0B43"/>
    <w:rsid w:val="00BD5F0B"/>
    <w:rsid w:val="00BD6107"/>
    <w:rsid w:val="00BD7634"/>
    <w:rsid w:val="00BE6C6F"/>
    <w:rsid w:val="00BE7A7C"/>
    <w:rsid w:val="00BF1683"/>
    <w:rsid w:val="00BF3B47"/>
    <w:rsid w:val="00BF7DEB"/>
    <w:rsid w:val="00C0673F"/>
    <w:rsid w:val="00C079D3"/>
    <w:rsid w:val="00C118E1"/>
    <w:rsid w:val="00C138D4"/>
    <w:rsid w:val="00C16B3E"/>
    <w:rsid w:val="00C26A37"/>
    <w:rsid w:val="00C318DB"/>
    <w:rsid w:val="00C37523"/>
    <w:rsid w:val="00C41D98"/>
    <w:rsid w:val="00C44552"/>
    <w:rsid w:val="00C550AC"/>
    <w:rsid w:val="00C56891"/>
    <w:rsid w:val="00C57775"/>
    <w:rsid w:val="00C630A0"/>
    <w:rsid w:val="00C75437"/>
    <w:rsid w:val="00C7578E"/>
    <w:rsid w:val="00C7665C"/>
    <w:rsid w:val="00C768D9"/>
    <w:rsid w:val="00C7773B"/>
    <w:rsid w:val="00C82070"/>
    <w:rsid w:val="00C82071"/>
    <w:rsid w:val="00C906A1"/>
    <w:rsid w:val="00C94518"/>
    <w:rsid w:val="00C95132"/>
    <w:rsid w:val="00CA0FF0"/>
    <w:rsid w:val="00CA53AB"/>
    <w:rsid w:val="00CA750A"/>
    <w:rsid w:val="00CB2B2C"/>
    <w:rsid w:val="00CB3CD8"/>
    <w:rsid w:val="00CD24A8"/>
    <w:rsid w:val="00CD57C1"/>
    <w:rsid w:val="00CD6AEA"/>
    <w:rsid w:val="00CD7F8B"/>
    <w:rsid w:val="00CE0B8C"/>
    <w:rsid w:val="00CE15F9"/>
    <w:rsid w:val="00CE22D5"/>
    <w:rsid w:val="00CE32ED"/>
    <w:rsid w:val="00CF013C"/>
    <w:rsid w:val="00CF0D52"/>
    <w:rsid w:val="00CF3EF4"/>
    <w:rsid w:val="00CF5045"/>
    <w:rsid w:val="00CF7C47"/>
    <w:rsid w:val="00D01A20"/>
    <w:rsid w:val="00D048B8"/>
    <w:rsid w:val="00D04E16"/>
    <w:rsid w:val="00D11B0F"/>
    <w:rsid w:val="00D12448"/>
    <w:rsid w:val="00D14D40"/>
    <w:rsid w:val="00D165FD"/>
    <w:rsid w:val="00D200DC"/>
    <w:rsid w:val="00D2063C"/>
    <w:rsid w:val="00D22568"/>
    <w:rsid w:val="00D23E9F"/>
    <w:rsid w:val="00D326FC"/>
    <w:rsid w:val="00D3617A"/>
    <w:rsid w:val="00D36323"/>
    <w:rsid w:val="00D370E8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629B5"/>
    <w:rsid w:val="00D64DFE"/>
    <w:rsid w:val="00D733B3"/>
    <w:rsid w:val="00D87613"/>
    <w:rsid w:val="00D87771"/>
    <w:rsid w:val="00DA413D"/>
    <w:rsid w:val="00DA4C88"/>
    <w:rsid w:val="00DB100A"/>
    <w:rsid w:val="00DB177F"/>
    <w:rsid w:val="00DB40D9"/>
    <w:rsid w:val="00DB63E7"/>
    <w:rsid w:val="00DC4A29"/>
    <w:rsid w:val="00DC602A"/>
    <w:rsid w:val="00DE1266"/>
    <w:rsid w:val="00DE6C49"/>
    <w:rsid w:val="00DF0C20"/>
    <w:rsid w:val="00DF208D"/>
    <w:rsid w:val="00DF6DB3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0C44"/>
    <w:rsid w:val="00E363F2"/>
    <w:rsid w:val="00E37018"/>
    <w:rsid w:val="00E4457F"/>
    <w:rsid w:val="00E502D5"/>
    <w:rsid w:val="00E54A5F"/>
    <w:rsid w:val="00E6314C"/>
    <w:rsid w:val="00E64CD4"/>
    <w:rsid w:val="00E653A4"/>
    <w:rsid w:val="00E65CD3"/>
    <w:rsid w:val="00E70AFA"/>
    <w:rsid w:val="00E749D3"/>
    <w:rsid w:val="00E77830"/>
    <w:rsid w:val="00E90BD9"/>
    <w:rsid w:val="00E9588F"/>
    <w:rsid w:val="00EA1E68"/>
    <w:rsid w:val="00EA6087"/>
    <w:rsid w:val="00EA687E"/>
    <w:rsid w:val="00EA7F01"/>
    <w:rsid w:val="00EB1DCD"/>
    <w:rsid w:val="00EB31AF"/>
    <w:rsid w:val="00EB4342"/>
    <w:rsid w:val="00EC221B"/>
    <w:rsid w:val="00EC29C4"/>
    <w:rsid w:val="00EC43BF"/>
    <w:rsid w:val="00ED6647"/>
    <w:rsid w:val="00ED7E15"/>
    <w:rsid w:val="00EE09EA"/>
    <w:rsid w:val="00EE3D31"/>
    <w:rsid w:val="00EF00F8"/>
    <w:rsid w:val="00EF5FB5"/>
    <w:rsid w:val="00F01A32"/>
    <w:rsid w:val="00F05FAA"/>
    <w:rsid w:val="00F0731E"/>
    <w:rsid w:val="00F21E69"/>
    <w:rsid w:val="00F2382B"/>
    <w:rsid w:val="00F26515"/>
    <w:rsid w:val="00F5059B"/>
    <w:rsid w:val="00F54627"/>
    <w:rsid w:val="00F5552F"/>
    <w:rsid w:val="00F5572E"/>
    <w:rsid w:val="00F61EEE"/>
    <w:rsid w:val="00F6260E"/>
    <w:rsid w:val="00F6309C"/>
    <w:rsid w:val="00F74E32"/>
    <w:rsid w:val="00F7670B"/>
    <w:rsid w:val="00F77895"/>
    <w:rsid w:val="00F8106F"/>
    <w:rsid w:val="00F81D77"/>
    <w:rsid w:val="00F8467C"/>
    <w:rsid w:val="00F8557F"/>
    <w:rsid w:val="00F86FEC"/>
    <w:rsid w:val="00F93D7F"/>
    <w:rsid w:val="00F974F1"/>
    <w:rsid w:val="00FA29BF"/>
    <w:rsid w:val="00FA3A88"/>
    <w:rsid w:val="00FA512F"/>
    <w:rsid w:val="00FB0643"/>
    <w:rsid w:val="00FB1CB4"/>
    <w:rsid w:val="00FC0CB1"/>
    <w:rsid w:val="00FC384D"/>
    <w:rsid w:val="00FC6587"/>
    <w:rsid w:val="00FC70EE"/>
    <w:rsid w:val="00FD32ED"/>
    <w:rsid w:val="00FD57F0"/>
    <w:rsid w:val="00FD5E4A"/>
    <w:rsid w:val="00FE2254"/>
    <w:rsid w:val="00FE39AB"/>
    <w:rsid w:val="00FE4E60"/>
    <w:rsid w:val="00FF39DD"/>
    <w:rsid w:val="00FF58D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61F1299E-7609-477B-9ADB-E0B9F1C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Sinespacio">
    <w:name w:val="Sin espacio"/>
    <w:basedOn w:val="Normal"/>
    <w:link w:val="SinespacioCar"/>
    <w:qFormat/>
    <w:rsid w:val="006B4945"/>
    <w:rPr>
      <w:rFonts w:ascii="Arial" w:hAnsi="Arial" w:cs="Arial"/>
      <w:sz w:val="20"/>
      <w:szCs w:val="20"/>
    </w:rPr>
  </w:style>
  <w:style w:type="character" w:customStyle="1" w:styleId="SinespacioCar">
    <w:name w:val="Sin espacio Car"/>
    <w:basedOn w:val="Fuentedeprrafopredeter"/>
    <w:link w:val="Sinespacio"/>
    <w:rsid w:val="006B4945"/>
    <w:rPr>
      <w:rFonts w:ascii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9038-A757-4923-B835-F36BE50A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1822</Words>
  <Characters>10026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Usuario</cp:lastModifiedBy>
  <cp:revision>30</cp:revision>
  <cp:lastPrinted>1999-07-20T19:01:00Z</cp:lastPrinted>
  <dcterms:created xsi:type="dcterms:W3CDTF">2017-06-28T17:49:00Z</dcterms:created>
  <dcterms:modified xsi:type="dcterms:W3CDTF">2018-09-07T02:09:00Z</dcterms:modified>
</cp:coreProperties>
</file>